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30BA6" w14:textId="7B5419D5" w:rsidR="00751790" w:rsidRPr="00751790" w:rsidRDefault="00F95BD6" w:rsidP="00751790">
      <w:pPr>
        <w:rPr>
          <w:rFonts w:cs="GillSans-SemiBold"/>
          <w:color w:val="00858A"/>
          <w:sz w:val="32"/>
          <w:szCs w:val="44"/>
        </w:rPr>
      </w:pPr>
      <w:bookmarkStart w:id="0" w:name="_Hlk70519009"/>
      <w:bookmarkStart w:id="1" w:name="_Hlk70516411"/>
      <w:r>
        <w:rPr>
          <w:rFonts w:cs="GillSans-SemiBold"/>
          <w:color w:val="00858A"/>
          <w:sz w:val="32"/>
          <w:szCs w:val="44"/>
        </w:rPr>
        <w:t>A</w:t>
      </w:r>
      <w:r w:rsidR="007F7B63">
        <w:rPr>
          <w:rFonts w:cs="GillSans-SemiBold"/>
          <w:color w:val="00858A"/>
          <w:sz w:val="32"/>
          <w:szCs w:val="44"/>
        </w:rPr>
        <w:t>ttachment</w:t>
      </w:r>
      <w:r>
        <w:rPr>
          <w:rFonts w:cs="GillSans-SemiBold"/>
          <w:color w:val="00858A"/>
          <w:sz w:val="32"/>
          <w:szCs w:val="44"/>
        </w:rPr>
        <w:t xml:space="preserve"> 1 </w:t>
      </w:r>
      <w:r w:rsidR="007F7B63">
        <w:rPr>
          <w:rFonts w:cs="GillSans-SemiBold"/>
          <w:color w:val="00858A"/>
          <w:sz w:val="32"/>
          <w:szCs w:val="44"/>
        </w:rPr>
        <w:t>–</w:t>
      </w:r>
      <w:r>
        <w:rPr>
          <w:rFonts w:cs="GillSans-SemiBold"/>
          <w:color w:val="00858A"/>
          <w:sz w:val="32"/>
          <w:szCs w:val="44"/>
        </w:rPr>
        <w:t xml:space="preserve"> </w:t>
      </w:r>
      <w:r w:rsidR="00751790" w:rsidRPr="00751790">
        <w:rPr>
          <w:rFonts w:cs="GillSans-SemiBold"/>
          <w:color w:val="00858A"/>
          <w:sz w:val="32"/>
          <w:szCs w:val="44"/>
        </w:rPr>
        <w:t>Implementing the Provider Standards</w:t>
      </w:r>
      <w:r>
        <w:rPr>
          <w:rFonts w:cs="GillSans-SemiBold"/>
          <w:color w:val="00858A"/>
          <w:sz w:val="32"/>
          <w:szCs w:val="44"/>
        </w:rPr>
        <w:t xml:space="preserve">: </w:t>
      </w:r>
      <w:r w:rsidR="00EE317C">
        <w:rPr>
          <w:rFonts w:cs="GillSans-SemiBold"/>
          <w:color w:val="00858A"/>
          <w:sz w:val="32"/>
          <w:szCs w:val="44"/>
        </w:rPr>
        <w:t xml:space="preserve">Template </w:t>
      </w:r>
      <w:r w:rsidR="00885AF3">
        <w:rPr>
          <w:rFonts w:cs="GillSans-SemiBold"/>
          <w:color w:val="00858A"/>
          <w:sz w:val="32"/>
          <w:szCs w:val="44"/>
        </w:rPr>
        <w:br/>
      </w:r>
      <w:r w:rsidR="006A737D">
        <w:t xml:space="preserve">This </w:t>
      </w:r>
      <w:r w:rsidR="00EE317C">
        <w:t xml:space="preserve">template </w:t>
      </w:r>
      <w:r w:rsidR="006A737D">
        <w:t>helps schools and colleges understand the requirements to meet the Standards for Providers</w:t>
      </w:r>
      <w:r w:rsidR="00EE317C">
        <w:t>, t</w:t>
      </w:r>
      <w:r w:rsidR="006A737D">
        <w:t xml:space="preserve">he resources available, and to plan specific actions to ensure they are meeting all the standards. </w:t>
      </w:r>
      <w:r w:rsidR="00885AF3" w:rsidRPr="000A35C1">
        <w:rPr>
          <w:b/>
          <w:bCs/>
        </w:rPr>
        <w:t xml:space="preserve">The suggested </w:t>
      </w:r>
      <w:r w:rsidR="00885AF3">
        <w:rPr>
          <w:b/>
          <w:bCs/>
        </w:rPr>
        <w:t>a</w:t>
      </w:r>
      <w:r w:rsidR="00885AF3" w:rsidRPr="000A35C1">
        <w:rPr>
          <w:b/>
          <w:bCs/>
        </w:rPr>
        <w:t>ctions</w:t>
      </w:r>
      <w:r w:rsidR="00885AF3">
        <w:t xml:space="preserve"> </w:t>
      </w:r>
      <w:r w:rsidR="00885AF3" w:rsidRPr="000A35C1">
        <w:rPr>
          <w:b/>
          <w:bCs/>
        </w:rPr>
        <w:t>are highly recommended</w:t>
      </w:r>
      <w:r w:rsidR="00885AF3">
        <w:t xml:space="preserve"> to ensure all standards are fully met. The actions will also provide strong evidence the standards </w:t>
      </w:r>
      <w:r w:rsidR="00021B42">
        <w:t xml:space="preserve">will be </w:t>
      </w:r>
      <w:r w:rsidR="00885AF3">
        <w:t>followed and can be demonstrated during quality assurance processes</w:t>
      </w:r>
      <w:r w:rsidR="00021B42">
        <w:t xml:space="preserve"> once registered</w:t>
      </w:r>
      <w:r w:rsidR="00885AF3">
        <w:t>.</w:t>
      </w:r>
      <w:r w:rsidR="00885AF3">
        <w:br/>
        <w:t>Schools may use other or additional actions if these will comprehensively fulfill the standards and achieve the same outcomes</w:t>
      </w:r>
      <w:r w:rsidR="00F255EB">
        <w:t xml:space="preserve">. </w:t>
      </w:r>
    </w:p>
    <w:p w14:paraId="7A66C254" w14:textId="5F03F456" w:rsidR="00751790" w:rsidRPr="00F60096" w:rsidRDefault="00751790" w:rsidP="00751790">
      <w:pPr>
        <w:rPr>
          <w:rFonts w:cs="GillSans-SemiBold"/>
          <w:color w:val="00858A"/>
          <w:sz w:val="28"/>
          <w:szCs w:val="42"/>
        </w:rPr>
      </w:pPr>
      <w:r w:rsidRPr="00F95BD6">
        <w:rPr>
          <w:rFonts w:cs="GillSans-SemiBold"/>
          <w:b/>
          <w:bCs/>
          <w:color w:val="00858A"/>
          <w:sz w:val="28"/>
          <w:szCs w:val="42"/>
        </w:rPr>
        <w:t>&lt;School/College Name&gt;</w:t>
      </w:r>
      <w:r w:rsidRPr="00F60096">
        <w:rPr>
          <w:rFonts w:cs="GillSans-SemiBold"/>
          <w:color w:val="00858A"/>
          <w:sz w:val="28"/>
          <w:szCs w:val="42"/>
        </w:rPr>
        <w:t xml:space="preserve"> will meet the 10 Standards for Providers of TASC-accredited senior secondary courses by: </w:t>
      </w:r>
    </w:p>
    <w:tbl>
      <w:tblPr>
        <w:tblStyle w:val="TableGrid"/>
        <w:tblW w:w="22250" w:type="dxa"/>
        <w:tblLook w:val="04A0" w:firstRow="1" w:lastRow="0" w:firstColumn="1" w:lastColumn="0" w:noHBand="0" w:noVBand="1"/>
      </w:tblPr>
      <w:tblGrid>
        <w:gridCol w:w="539"/>
        <w:gridCol w:w="2600"/>
        <w:gridCol w:w="3965"/>
        <w:gridCol w:w="11605"/>
        <w:gridCol w:w="3541"/>
      </w:tblGrid>
      <w:tr w:rsidR="00751790" w14:paraId="448E6167" w14:textId="77777777" w:rsidTr="000350C5">
        <w:trPr>
          <w:tblHeader/>
        </w:trPr>
        <w:tc>
          <w:tcPr>
            <w:tcW w:w="512" w:type="dxa"/>
            <w:shd w:val="clear" w:color="auto" w:fill="008080"/>
          </w:tcPr>
          <w:p w14:paraId="533A06AD" w14:textId="77777777" w:rsidR="00751790" w:rsidRPr="00A326FA" w:rsidRDefault="00751790" w:rsidP="000350C5">
            <w:pPr>
              <w:rPr>
                <w:b/>
                <w:bCs/>
                <w:color w:val="FFFFFF" w:themeColor="background1"/>
              </w:rPr>
            </w:pPr>
            <w:r w:rsidRPr="00A326FA">
              <w:rPr>
                <w:b/>
                <w:bCs/>
                <w:color w:val="FFFFFF" w:themeColor="background1"/>
              </w:rPr>
              <w:t>No</w:t>
            </w:r>
          </w:p>
        </w:tc>
        <w:tc>
          <w:tcPr>
            <w:tcW w:w="2602" w:type="dxa"/>
            <w:shd w:val="clear" w:color="auto" w:fill="008080"/>
          </w:tcPr>
          <w:p w14:paraId="741F05EB" w14:textId="77777777" w:rsidR="00751790" w:rsidRPr="00A326FA" w:rsidRDefault="00751790" w:rsidP="000350C5">
            <w:pPr>
              <w:rPr>
                <w:b/>
                <w:bCs/>
                <w:color w:val="FFFFFF" w:themeColor="background1"/>
              </w:rPr>
            </w:pPr>
            <w:r w:rsidRPr="00A326FA">
              <w:rPr>
                <w:b/>
                <w:bCs/>
                <w:color w:val="FFFFFF" w:themeColor="background1"/>
              </w:rPr>
              <w:t>Provider Standard</w:t>
            </w:r>
          </w:p>
        </w:tc>
        <w:tc>
          <w:tcPr>
            <w:tcW w:w="3969" w:type="dxa"/>
            <w:shd w:val="clear" w:color="auto" w:fill="008080"/>
          </w:tcPr>
          <w:p w14:paraId="6532F7DD" w14:textId="77777777" w:rsidR="00751790" w:rsidRPr="00A326FA" w:rsidRDefault="00751790" w:rsidP="000350C5">
            <w:pPr>
              <w:rPr>
                <w:b/>
                <w:bCs/>
                <w:color w:val="FFFFFF" w:themeColor="background1"/>
              </w:rPr>
            </w:pPr>
            <w:r w:rsidRPr="00A326FA">
              <w:rPr>
                <w:b/>
                <w:bCs/>
                <w:color w:val="FFFFFF" w:themeColor="background1"/>
              </w:rPr>
              <w:t>Resources</w:t>
            </w:r>
          </w:p>
        </w:tc>
        <w:tc>
          <w:tcPr>
            <w:tcW w:w="11623" w:type="dxa"/>
            <w:shd w:val="clear" w:color="auto" w:fill="008080"/>
          </w:tcPr>
          <w:p w14:paraId="6F5BBDE9" w14:textId="77777777" w:rsidR="00751790" w:rsidRPr="00A326FA" w:rsidRDefault="00751790" w:rsidP="000350C5">
            <w:pPr>
              <w:rPr>
                <w:b/>
                <w:bCs/>
                <w:color w:val="FFFFFF" w:themeColor="background1"/>
              </w:rPr>
            </w:pPr>
            <w:r w:rsidRPr="00A326FA">
              <w:rPr>
                <w:b/>
                <w:bCs/>
                <w:i/>
                <w:iCs/>
                <w:color w:val="FFFFFF" w:themeColor="background1"/>
              </w:rPr>
              <w:t>Actions</w:t>
            </w:r>
            <w:r>
              <w:rPr>
                <w:b/>
                <w:bCs/>
                <w:i/>
                <w:iCs/>
                <w:color w:val="FFFFFF" w:themeColor="background1"/>
              </w:rPr>
              <w:t>:</w:t>
            </w:r>
            <w:r w:rsidRPr="00A326FA">
              <w:rPr>
                <w:b/>
                <w:bCs/>
                <w:color w:val="FFFFFF" w:themeColor="background1"/>
              </w:rPr>
              <w:t xml:space="preserve"> What we will do</w:t>
            </w:r>
          </w:p>
        </w:tc>
        <w:tc>
          <w:tcPr>
            <w:tcW w:w="3544" w:type="dxa"/>
            <w:shd w:val="clear" w:color="auto" w:fill="008080"/>
          </w:tcPr>
          <w:p w14:paraId="2D9191AD" w14:textId="77777777" w:rsidR="00751790" w:rsidRPr="00A326FA" w:rsidRDefault="00751790" w:rsidP="000350C5">
            <w:pPr>
              <w:rPr>
                <w:b/>
                <w:bCs/>
                <w:color w:val="FFFFFF" w:themeColor="background1"/>
              </w:rPr>
            </w:pPr>
            <w:r w:rsidRPr="00A326FA">
              <w:rPr>
                <w:b/>
                <w:bCs/>
                <w:i/>
                <w:iCs/>
                <w:color w:val="FFFFFF" w:themeColor="background1"/>
              </w:rPr>
              <w:t>Accountability:</w:t>
            </w:r>
            <w:r w:rsidRPr="00A326FA">
              <w:rPr>
                <w:b/>
                <w:bCs/>
                <w:color w:val="FFFFFF" w:themeColor="background1"/>
              </w:rPr>
              <w:t xml:space="preserve"> Who is responsible / When will it be done</w:t>
            </w:r>
          </w:p>
        </w:tc>
      </w:tr>
      <w:tr w:rsidR="00751790" w:rsidRPr="00B77C7E" w14:paraId="1172C3F1" w14:textId="77777777" w:rsidTr="000350C5">
        <w:trPr>
          <w:cantSplit/>
        </w:trPr>
        <w:tc>
          <w:tcPr>
            <w:tcW w:w="512" w:type="dxa"/>
          </w:tcPr>
          <w:p w14:paraId="253B982B" w14:textId="77777777" w:rsidR="00751790" w:rsidRPr="005232D0" w:rsidRDefault="00751790" w:rsidP="000350C5">
            <w:pPr>
              <w:rPr>
                <w:b/>
                <w:bCs/>
                <w:szCs w:val="24"/>
              </w:rPr>
            </w:pPr>
            <w:r w:rsidRPr="005232D0">
              <w:rPr>
                <w:b/>
                <w:bCs/>
                <w:szCs w:val="24"/>
              </w:rPr>
              <w:t>1</w:t>
            </w:r>
          </w:p>
        </w:tc>
        <w:tc>
          <w:tcPr>
            <w:tcW w:w="2602" w:type="dxa"/>
          </w:tcPr>
          <w:p w14:paraId="47FAB3EE" w14:textId="77777777" w:rsidR="00751790" w:rsidRDefault="00751790" w:rsidP="000350C5">
            <w:pPr>
              <w:rPr>
                <w:szCs w:val="24"/>
              </w:rPr>
            </w:pPr>
            <w:r w:rsidRPr="00B77C7E">
              <w:rPr>
                <w:szCs w:val="24"/>
              </w:rPr>
              <w:t>All the knowledge, skills and experiences that comprise a course are delivered to students, and that all stated course requirements are met.</w:t>
            </w:r>
          </w:p>
          <w:p w14:paraId="54E68ACF" w14:textId="77777777" w:rsidR="00320863" w:rsidRPr="00320863" w:rsidRDefault="00320863" w:rsidP="00320863">
            <w:pPr>
              <w:rPr>
                <w:szCs w:val="24"/>
              </w:rPr>
            </w:pPr>
          </w:p>
          <w:p w14:paraId="28AEBFEA" w14:textId="77777777" w:rsidR="00320863" w:rsidRPr="00320863" w:rsidRDefault="00320863" w:rsidP="00320863">
            <w:pPr>
              <w:rPr>
                <w:szCs w:val="24"/>
              </w:rPr>
            </w:pPr>
          </w:p>
          <w:p w14:paraId="7A4964BC" w14:textId="15C1D6D9" w:rsidR="00320863" w:rsidRPr="00320863" w:rsidRDefault="00320863" w:rsidP="00320863">
            <w:pPr>
              <w:rPr>
                <w:szCs w:val="24"/>
              </w:rPr>
            </w:pPr>
          </w:p>
        </w:tc>
        <w:tc>
          <w:tcPr>
            <w:tcW w:w="3969" w:type="dxa"/>
          </w:tcPr>
          <w:p w14:paraId="6CAA8C8F" w14:textId="77777777" w:rsidR="00751790" w:rsidRPr="00B77C7E" w:rsidRDefault="00751790" w:rsidP="00751790">
            <w:pPr>
              <w:pStyle w:val="ListParagraph"/>
              <w:numPr>
                <w:ilvl w:val="0"/>
                <w:numId w:val="14"/>
              </w:numPr>
              <w:spacing w:before="0" w:after="0"/>
            </w:pPr>
            <w:r w:rsidRPr="00B77C7E">
              <w:t xml:space="preserve">Current </w:t>
            </w:r>
            <w:hyperlink r:id="rId8" w:history="1">
              <w:r w:rsidRPr="00B77C7E">
                <w:rPr>
                  <w:rStyle w:val="Hyperlink"/>
                </w:rPr>
                <w:t>Course document</w:t>
              </w:r>
            </w:hyperlink>
            <w:r w:rsidRPr="00B77C7E">
              <w:rPr>
                <w:rStyle w:val="Hyperlink"/>
              </w:rPr>
              <w:t xml:space="preserve"> </w:t>
            </w:r>
            <w:r w:rsidRPr="00B77C7E">
              <w:t>on the TASC website.</w:t>
            </w:r>
          </w:p>
          <w:p w14:paraId="65DF4B59" w14:textId="77777777" w:rsidR="00751790" w:rsidRDefault="00751790" w:rsidP="00751790">
            <w:pPr>
              <w:pStyle w:val="ListParagraph"/>
              <w:numPr>
                <w:ilvl w:val="0"/>
                <w:numId w:val="14"/>
              </w:numPr>
              <w:spacing w:before="0" w:after="0"/>
            </w:pPr>
            <w:r w:rsidRPr="00B77C7E">
              <w:t>School’s enrolment policies and procedures.</w:t>
            </w:r>
          </w:p>
          <w:p w14:paraId="425A89D9" w14:textId="77777777" w:rsidR="00751790" w:rsidRPr="008B3AAA" w:rsidRDefault="00F666A9" w:rsidP="00751790">
            <w:pPr>
              <w:pStyle w:val="ListParagraph"/>
              <w:numPr>
                <w:ilvl w:val="0"/>
                <w:numId w:val="14"/>
              </w:numPr>
              <w:spacing w:before="0" w:after="0"/>
            </w:pPr>
            <w:hyperlink r:id="rId9" w:history="1">
              <w:r w:rsidR="00751790" w:rsidRPr="00531EA7">
                <w:rPr>
                  <w:rStyle w:val="Hyperlink"/>
                </w:rPr>
                <w:t xml:space="preserve">Standards for </w:t>
              </w:r>
              <w:r w:rsidR="00751790">
                <w:rPr>
                  <w:rStyle w:val="Hyperlink"/>
                </w:rPr>
                <w:t>P</w:t>
              </w:r>
              <w:r w:rsidR="00751790" w:rsidRPr="00531EA7">
                <w:rPr>
                  <w:rStyle w:val="Hyperlink"/>
                </w:rPr>
                <w:t>roviders</w:t>
              </w:r>
            </w:hyperlink>
            <w:r w:rsidR="00751790">
              <w:rPr>
                <w:rStyle w:val="Hyperlink"/>
              </w:rPr>
              <w:t xml:space="preserve"> </w:t>
            </w:r>
            <w:r w:rsidR="00751790">
              <w:t>–</w:t>
            </w:r>
            <w:r w:rsidR="00751790" w:rsidRPr="008B3AAA">
              <w:t xml:space="preserve"> Appendix</w:t>
            </w:r>
            <w:r w:rsidR="00751790">
              <w:t xml:space="preserve"> </w:t>
            </w:r>
            <w:r w:rsidR="00751790" w:rsidRPr="00360EA8">
              <w:t>2 and</w:t>
            </w:r>
            <w:r w:rsidR="00751790" w:rsidRPr="008B3AAA">
              <w:t xml:space="preserve"> 3 </w:t>
            </w:r>
            <w:r w:rsidR="00751790">
              <w:t>o</w:t>
            </w:r>
            <w:r w:rsidR="00751790" w:rsidRPr="00E1378C">
              <w:t>n enrolment of students pre-Year 11</w:t>
            </w:r>
            <w:r w:rsidR="00751790">
              <w:t>,</w:t>
            </w:r>
            <w:r w:rsidR="00751790" w:rsidRPr="00E1378C">
              <w:t xml:space="preserve"> </w:t>
            </w:r>
            <w:r w:rsidR="00751790">
              <w:t>c</w:t>
            </w:r>
            <w:r w:rsidR="00751790" w:rsidRPr="008B3AAA">
              <w:t>oncurrent enrolment, repeating a course and completion over two years</w:t>
            </w:r>
            <w:r w:rsidR="00751790">
              <w:t>.</w:t>
            </w:r>
          </w:p>
          <w:p w14:paraId="26670E9E" w14:textId="77777777" w:rsidR="00751790" w:rsidRPr="00B77C7E" w:rsidRDefault="00751790" w:rsidP="00751790">
            <w:pPr>
              <w:pStyle w:val="ListParagraph"/>
              <w:numPr>
                <w:ilvl w:val="0"/>
                <w:numId w:val="14"/>
              </w:numPr>
              <w:spacing w:before="0" w:after="0"/>
            </w:pPr>
            <w:r w:rsidRPr="00B77C7E">
              <w:t>Teachers’ course delivery and assessment plans.</w:t>
            </w:r>
          </w:p>
        </w:tc>
        <w:tc>
          <w:tcPr>
            <w:tcW w:w="11623" w:type="dxa"/>
          </w:tcPr>
          <w:p w14:paraId="5AA8937F" w14:textId="77777777" w:rsidR="00751790" w:rsidRPr="00B77C7E" w:rsidRDefault="00751790" w:rsidP="000350C5">
            <w:r w:rsidRPr="00B77C7E">
              <w:t>To ensure a course is delivered and assessed in its entirety and any course specific requirements are met, we will:</w:t>
            </w:r>
          </w:p>
          <w:p w14:paraId="102F4FA6" w14:textId="77777777" w:rsidR="00751790" w:rsidRPr="002D34B3" w:rsidRDefault="00751790" w:rsidP="00751790">
            <w:pPr>
              <w:pStyle w:val="ListParagraph"/>
              <w:numPr>
                <w:ilvl w:val="0"/>
                <w:numId w:val="11"/>
              </w:numPr>
              <w:spacing w:before="0" w:after="0"/>
              <w:rPr>
                <w:i/>
                <w:iCs/>
                <w:highlight w:val="lightGray"/>
              </w:rPr>
            </w:pPr>
            <w:r w:rsidRPr="002D34B3">
              <w:rPr>
                <w:i/>
                <w:iCs/>
                <w:highlight w:val="lightGray"/>
              </w:rPr>
              <w:t>&lt;Check access, resources and work requirements</w:t>
            </w:r>
            <w:r>
              <w:rPr>
                <w:i/>
                <w:iCs/>
                <w:highlight w:val="lightGray"/>
              </w:rPr>
              <w:t xml:space="preserve"> for the course</w:t>
            </w:r>
            <w:r w:rsidRPr="002D34B3">
              <w:rPr>
                <w:i/>
                <w:iCs/>
                <w:highlight w:val="lightGray"/>
              </w:rPr>
              <w:t xml:space="preserve"> (including checking students enrolled meet the requirements)&gt;</w:t>
            </w:r>
          </w:p>
          <w:p w14:paraId="020F44FC" w14:textId="77777777" w:rsidR="00751790" w:rsidRDefault="00751790" w:rsidP="00751790">
            <w:pPr>
              <w:pStyle w:val="ListParagraph"/>
              <w:numPr>
                <w:ilvl w:val="0"/>
                <w:numId w:val="11"/>
              </w:numPr>
              <w:spacing w:before="0" w:after="0"/>
              <w:rPr>
                <w:i/>
                <w:iCs/>
                <w:highlight w:val="lightGray"/>
              </w:rPr>
            </w:pPr>
            <w:r w:rsidRPr="002D34B3">
              <w:rPr>
                <w:i/>
                <w:iCs/>
                <w:highlight w:val="lightGray"/>
              </w:rPr>
              <w:t xml:space="preserve">&lt;Plan the delivery and assessment of the course, including scope and sequence </w:t>
            </w:r>
            <w:r>
              <w:rPr>
                <w:i/>
                <w:iCs/>
                <w:highlight w:val="lightGray"/>
              </w:rPr>
              <w:t xml:space="preserve">and </w:t>
            </w:r>
            <w:r w:rsidRPr="002D34B3">
              <w:rPr>
                <w:i/>
                <w:iCs/>
                <w:highlight w:val="lightGray"/>
              </w:rPr>
              <w:t xml:space="preserve">assessment matrix </w:t>
            </w:r>
            <w:r>
              <w:rPr>
                <w:i/>
                <w:iCs/>
                <w:highlight w:val="lightGray"/>
              </w:rPr>
              <w:t>(</w:t>
            </w:r>
            <w:r w:rsidRPr="002D34B3">
              <w:rPr>
                <w:i/>
                <w:iCs/>
                <w:highlight w:val="lightGray"/>
              </w:rPr>
              <w:t>and unit/lesson plans</w:t>
            </w:r>
            <w:r>
              <w:rPr>
                <w:i/>
                <w:iCs/>
                <w:highlight w:val="lightGray"/>
              </w:rPr>
              <w:t xml:space="preserve"> as appropriate)</w:t>
            </w:r>
            <w:r w:rsidRPr="002D34B3">
              <w:rPr>
                <w:i/>
                <w:iCs/>
                <w:highlight w:val="lightGray"/>
              </w:rPr>
              <w:t>&gt;</w:t>
            </w:r>
          </w:p>
          <w:p w14:paraId="1ED63B6F" w14:textId="77777777" w:rsidR="00751790" w:rsidRPr="002D34B3" w:rsidRDefault="00751790" w:rsidP="00751790">
            <w:pPr>
              <w:pStyle w:val="ListParagraph"/>
              <w:numPr>
                <w:ilvl w:val="0"/>
                <w:numId w:val="11"/>
              </w:numPr>
              <w:spacing w:before="0" w:after="0"/>
              <w:rPr>
                <w:i/>
                <w:iCs/>
                <w:highlight w:val="lightGray"/>
              </w:rPr>
            </w:pPr>
            <w:r w:rsidRPr="002D34B3">
              <w:rPr>
                <w:i/>
                <w:iCs/>
                <w:highlight w:val="lightGray"/>
              </w:rPr>
              <w:t>&lt;Any other activities&gt;.</w:t>
            </w:r>
          </w:p>
        </w:tc>
        <w:tc>
          <w:tcPr>
            <w:tcW w:w="3544" w:type="dxa"/>
          </w:tcPr>
          <w:p w14:paraId="1BB2DA89"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37766FA5"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 xml:space="preserve">lead Year 11-12 or </w:t>
            </w:r>
            <w:r>
              <w:rPr>
                <w:i/>
                <w:iCs/>
                <w:highlight w:val="lightGray"/>
              </w:rPr>
              <w:t>subject</w:t>
            </w:r>
            <w:r w:rsidRPr="00B77C7E">
              <w:rPr>
                <w:i/>
                <w:iCs/>
                <w:highlight w:val="lightGray"/>
              </w:rPr>
              <w:t>-specific teacher/s</w:t>
            </w:r>
          </w:p>
          <w:p w14:paraId="55A5D76B"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564612D7"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594D9C51"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6CB7353D" w14:textId="77777777" w:rsidTr="000350C5">
        <w:trPr>
          <w:cantSplit/>
        </w:trPr>
        <w:tc>
          <w:tcPr>
            <w:tcW w:w="512" w:type="dxa"/>
          </w:tcPr>
          <w:p w14:paraId="7AD3B955" w14:textId="77777777" w:rsidR="00751790" w:rsidRPr="005232D0" w:rsidRDefault="00751790" w:rsidP="000350C5">
            <w:pPr>
              <w:rPr>
                <w:b/>
                <w:bCs/>
                <w:szCs w:val="24"/>
              </w:rPr>
            </w:pPr>
            <w:r w:rsidRPr="005232D0">
              <w:rPr>
                <w:b/>
                <w:bCs/>
                <w:szCs w:val="24"/>
              </w:rPr>
              <w:t>2</w:t>
            </w:r>
          </w:p>
        </w:tc>
        <w:tc>
          <w:tcPr>
            <w:tcW w:w="2602" w:type="dxa"/>
          </w:tcPr>
          <w:p w14:paraId="5FDD783A" w14:textId="77777777" w:rsidR="00751790" w:rsidRDefault="00751790" w:rsidP="000350C5">
            <w:pPr>
              <w:rPr>
                <w:szCs w:val="24"/>
              </w:rPr>
            </w:pPr>
            <w:r w:rsidRPr="00B77C7E">
              <w:rPr>
                <w:szCs w:val="24"/>
              </w:rPr>
              <w:t>Individual students are exposed to the learning required by a course.</w:t>
            </w:r>
          </w:p>
          <w:p w14:paraId="75E294D1" w14:textId="77777777" w:rsidR="00320863" w:rsidRPr="00320863" w:rsidRDefault="00320863" w:rsidP="00320863">
            <w:pPr>
              <w:rPr>
                <w:szCs w:val="24"/>
              </w:rPr>
            </w:pPr>
          </w:p>
          <w:p w14:paraId="517616AB" w14:textId="77777777" w:rsidR="00320863" w:rsidRPr="00320863" w:rsidRDefault="00320863" w:rsidP="00320863">
            <w:pPr>
              <w:rPr>
                <w:szCs w:val="24"/>
              </w:rPr>
            </w:pPr>
          </w:p>
          <w:p w14:paraId="3B45137B" w14:textId="77777777" w:rsidR="00320863" w:rsidRPr="00320863" w:rsidRDefault="00320863" w:rsidP="00320863">
            <w:pPr>
              <w:rPr>
                <w:szCs w:val="24"/>
              </w:rPr>
            </w:pPr>
          </w:p>
          <w:p w14:paraId="4E76E49A" w14:textId="77777777" w:rsidR="00320863" w:rsidRPr="00320863" w:rsidRDefault="00320863" w:rsidP="00320863">
            <w:pPr>
              <w:rPr>
                <w:szCs w:val="24"/>
              </w:rPr>
            </w:pPr>
          </w:p>
          <w:p w14:paraId="2779E858" w14:textId="2C97C2FB" w:rsidR="00320863" w:rsidRPr="00320863" w:rsidRDefault="00320863" w:rsidP="00320863">
            <w:pPr>
              <w:rPr>
                <w:szCs w:val="24"/>
              </w:rPr>
            </w:pPr>
          </w:p>
        </w:tc>
        <w:tc>
          <w:tcPr>
            <w:tcW w:w="3969" w:type="dxa"/>
          </w:tcPr>
          <w:p w14:paraId="0AD33231" w14:textId="77777777" w:rsidR="00751790" w:rsidRPr="00B77C7E" w:rsidRDefault="00751790" w:rsidP="00751790">
            <w:pPr>
              <w:pStyle w:val="ListParagraph"/>
              <w:numPr>
                <w:ilvl w:val="0"/>
                <w:numId w:val="15"/>
              </w:numPr>
              <w:spacing w:before="0" w:after="0"/>
            </w:pPr>
            <w:r w:rsidRPr="00B77C7E">
              <w:t>School’s student attendance and engagement policies and procedures.</w:t>
            </w:r>
          </w:p>
          <w:p w14:paraId="63393A72" w14:textId="77777777" w:rsidR="00751790" w:rsidRPr="00B77C7E" w:rsidRDefault="00751790" w:rsidP="00751790">
            <w:pPr>
              <w:pStyle w:val="ListParagraph"/>
              <w:numPr>
                <w:ilvl w:val="0"/>
                <w:numId w:val="15"/>
              </w:numPr>
              <w:spacing w:before="0" w:after="0"/>
            </w:pPr>
            <w:r w:rsidRPr="00B77C7E">
              <w:t>School’s attendance recordkeeping system.</w:t>
            </w:r>
          </w:p>
        </w:tc>
        <w:tc>
          <w:tcPr>
            <w:tcW w:w="11623" w:type="dxa"/>
          </w:tcPr>
          <w:p w14:paraId="25840D8B" w14:textId="77777777" w:rsidR="00751790" w:rsidRPr="00B77C7E" w:rsidRDefault="00751790" w:rsidP="000350C5">
            <w:r w:rsidRPr="00B77C7E">
              <w:t>To ensure each student is provided with appropriate opportunities to undertake the learning, and formative and summative assessments required, we will:</w:t>
            </w:r>
          </w:p>
          <w:p w14:paraId="56085713" w14:textId="77777777" w:rsidR="00751790" w:rsidRPr="00E51677" w:rsidRDefault="00751790" w:rsidP="00751790">
            <w:pPr>
              <w:pStyle w:val="ListParagraph"/>
              <w:numPr>
                <w:ilvl w:val="1"/>
                <w:numId w:val="23"/>
              </w:numPr>
              <w:spacing w:before="0" w:after="0"/>
              <w:rPr>
                <w:i/>
                <w:iCs/>
                <w:highlight w:val="lightGray"/>
              </w:rPr>
            </w:pPr>
            <w:r w:rsidRPr="00E51677">
              <w:rPr>
                <w:i/>
                <w:iCs/>
                <w:highlight w:val="lightGray"/>
              </w:rPr>
              <w:t>&lt;Keep lesson-by-lesson attendance records&gt;</w:t>
            </w:r>
          </w:p>
          <w:p w14:paraId="19015BFB" w14:textId="77777777" w:rsidR="00751790" w:rsidRPr="00E51677" w:rsidRDefault="00751790" w:rsidP="00751790">
            <w:pPr>
              <w:pStyle w:val="ListParagraph"/>
              <w:numPr>
                <w:ilvl w:val="1"/>
                <w:numId w:val="23"/>
              </w:numPr>
              <w:spacing w:before="0" w:after="0"/>
              <w:rPr>
                <w:i/>
                <w:iCs/>
                <w:highlight w:val="lightGray"/>
              </w:rPr>
            </w:pPr>
            <w:r w:rsidRPr="00E51677">
              <w:rPr>
                <w:i/>
                <w:iCs/>
                <w:highlight w:val="lightGray"/>
              </w:rPr>
              <w:t>&lt;Use student log books / timesheets for course activities outside of normal hours / classrooms&gt;</w:t>
            </w:r>
          </w:p>
          <w:p w14:paraId="64326B1F" w14:textId="77777777" w:rsidR="00751790" w:rsidRDefault="00751790" w:rsidP="00751790">
            <w:pPr>
              <w:pStyle w:val="ListParagraph"/>
              <w:numPr>
                <w:ilvl w:val="1"/>
                <w:numId w:val="23"/>
              </w:numPr>
              <w:spacing w:before="0" w:after="0"/>
              <w:rPr>
                <w:i/>
                <w:iCs/>
                <w:highlight w:val="lightGray"/>
              </w:rPr>
            </w:pPr>
            <w:r w:rsidRPr="00E51677">
              <w:rPr>
                <w:i/>
                <w:iCs/>
                <w:highlight w:val="lightGray"/>
              </w:rPr>
              <w:t>&lt;Have documented policies and procedures addressing attendance expectations, how unexplained absences are managed and how students with prolonged absences are supported in their learning&gt;</w:t>
            </w:r>
          </w:p>
          <w:p w14:paraId="7D447447" w14:textId="77777777" w:rsidR="00751790" w:rsidRPr="00E51677" w:rsidRDefault="00751790" w:rsidP="00751790">
            <w:pPr>
              <w:pStyle w:val="ListParagraph"/>
              <w:numPr>
                <w:ilvl w:val="1"/>
                <w:numId w:val="23"/>
              </w:numPr>
              <w:spacing w:before="0" w:after="0"/>
              <w:rPr>
                <w:i/>
                <w:iCs/>
                <w:highlight w:val="lightGray"/>
              </w:rPr>
            </w:pPr>
            <w:r w:rsidRPr="00E51677">
              <w:rPr>
                <w:i/>
                <w:iCs/>
                <w:highlight w:val="lightGray"/>
              </w:rPr>
              <w:t>&lt;Any other activities&gt;.</w:t>
            </w:r>
          </w:p>
        </w:tc>
        <w:tc>
          <w:tcPr>
            <w:tcW w:w="3544" w:type="dxa"/>
          </w:tcPr>
          <w:p w14:paraId="462DB6D6"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62CC1112"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49B7DDD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2DC770E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574427C9"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5CC0AAFE" w14:textId="77777777" w:rsidTr="000350C5">
        <w:trPr>
          <w:cantSplit/>
        </w:trPr>
        <w:tc>
          <w:tcPr>
            <w:tcW w:w="512" w:type="dxa"/>
          </w:tcPr>
          <w:p w14:paraId="4B826297" w14:textId="77777777" w:rsidR="00751790" w:rsidRPr="005232D0" w:rsidRDefault="00751790" w:rsidP="000350C5">
            <w:pPr>
              <w:rPr>
                <w:b/>
                <w:bCs/>
                <w:szCs w:val="24"/>
              </w:rPr>
            </w:pPr>
            <w:r w:rsidRPr="005232D0">
              <w:rPr>
                <w:b/>
                <w:bCs/>
                <w:szCs w:val="24"/>
              </w:rPr>
              <w:lastRenderedPageBreak/>
              <w:t>3</w:t>
            </w:r>
          </w:p>
        </w:tc>
        <w:tc>
          <w:tcPr>
            <w:tcW w:w="2602" w:type="dxa"/>
          </w:tcPr>
          <w:p w14:paraId="1F09CCEA" w14:textId="77777777" w:rsidR="00751790" w:rsidRDefault="00751790" w:rsidP="000350C5">
            <w:pPr>
              <w:rPr>
                <w:szCs w:val="24"/>
              </w:rPr>
            </w:pPr>
            <w:r w:rsidRPr="00B77C7E">
              <w:rPr>
                <w:szCs w:val="24"/>
              </w:rPr>
              <w:t>Assessment tools meet the requirements of the course and are valid, fair and equitable.</w:t>
            </w:r>
          </w:p>
          <w:p w14:paraId="61E73AD2" w14:textId="77777777" w:rsidR="00320863" w:rsidRPr="00320863" w:rsidRDefault="00320863" w:rsidP="00320863">
            <w:pPr>
              <w:rPr>
                <w:szCs w:val="24"/>
              </w:rPr>
            </w:pPr>
          </w:p>
          <w:p w14:paraId="695150AD" w14:textId="77777777" w:rsidR="00320863" w:rsidRPr="00320863" w:rsidRDefault="00320863" w:rsidP="00320863">
            <w:pPr>
              <w:rPr>
                <w:szCs w:val="24"/>
              </w:rPr>
            </w:pPr>
          </w:p>
          <w:p w14:paraId="239CE332" w14:textId="77777777" w:rsidR="00320863" w:rsidRPr="00320863" w:rsidRDefault="00320863" w:rsidP="00320863">
            <w:pPr>
              <w:rPr>
                <w:szCs w:val="24"/>
              </w:rPr>
            </w:pPr>
          </w:p>
          <w:p w14:paraId="1B6EC03F" w14:textId="77777777" w:rsidR="00320863" w:rsidRPr="00320863" w:rsidRDefault="00320863" w:rsidP="00320863">
            <w:pPr>
              <w:rPr>
                <w:szCs w:val="24"/>
              </w:rPr>
            </w:pPr>
          </w:p>
          <w:p w14:paraId="4CADAD5E" w14:textId="77777777" w:rsidR="00320863" w:rsidRPr="00320863" w:rsidRDefault="00320863" w:rsidP="00320863">
            <w:pPr>
              <w:rPr>
                <w:szCs w:val="24"/>
              </w:rPr>
            </w:pPr>
          </w:p>
          <w:p w14:paraId="640D1764" w14:textId="472F5C84" w:rsidR="00320863" w:rsidRPr="00320863" w:rsidRDefault="00320863" w:rsidP="00320863">
            <w:pPr>
              <w:rPr>
                <w:szCs w:val="24"/>
              </w:rPr>
            </w:pPr>
          </w:p>
        </w:tc>
        <w:tc>
          <w:tcPr>
            <w:tcW w:w="3969" w:type="dxa"/>
          </w:tcPr>
          <w:p w14:paraId="65473DAE" w14:textId="77777777" w:rsidR="00751790" w:rsidRPr="00B77C7E" w:rsidRDefault="00751790" w:rsidP="00751790">
            <w:pPr>
              <w:pStyle w:val="ListParagraph"/>
              <w:numPr>
                <w:ilvl w:val="0"/>
                <w:numId w:val="16"/>
              </w:numPr>
              <w:spacing w:before="0" w:after="0"/>
            </w:pPr>
            <w:r>
              <w:t>P</w:t>
            </w:r>
            <w:r w:rsidRPr="006E3083">
              <w:t>olicies and procedures</w:t>
            </w:r>
            <w:r>
              <w:t xml:space="preserve"> to ensure comparability of the interpretation and application of course standards to student work</w:t>
            </w:r>
            <w:r w:rsidRPr="00B77C7E">
              <w:t>.</w:t>
            </w:r>
          </w:p>
          <w:p w14:paraId="79161AB1" w14:textId="77777777" w:rsidR="00751790" w:rsidRDefault="00751790" w:rsidP="00751790">
            <w:pPr>
              <w:pStyle w:val="ListParagraph"/>
              <w:numPr>
                <w:ilvl w:val="0"/>
                <w:numId w:val="16"/>
              </w:numPr>
              <w:spacing w:before="0" w:after="0"/>
            </w:pPr>
            <w:r w:rsidRPr="00B77C7E">
              <w:t xml:space="preserve">Teachers’ course assessment </w:t>
            </w:r>
            <w:r>
              <w:t>matrix/</w:t>
            </w:r>
            <w:r w:rsidRPr="00B77C7E">
              <w:t>plans and tasks.</w:t>
            </w:r>
          </w:p>
          <w:p w14:paraId="600AFA60" w14:textId="77777777" w:rsidR="00751790" w:rsidRPr="00B77C7E" w:rsidRDefault="00751790" w:rsidP="00751790">
            <w:pPr>
              <w:pStyle w:val="ListParagraph"/>
              <w:numPr>
                <w:ilvl w:val="0"/>
                <w:numId w:val="16"/>
              </w:numPr>
              <w:spacing w:before="0" w:after="0"/>
            </w:pPr>
            <w:r>
              <w:t xml:space="preserve">Information on </w:t>
            </w:r>
            <w:hyperlink r:id="rId10" w:history="1">
              <w:r w:rsidRPr="00F50441">
                <w:rPr>
                  <w:rStyle w:val="Hyperlink"/>
                </w:rPr>
                <w:t>Internal assessment</w:t>
              </w:r>
            </w:hyperlink>
            <w:r>
              <w:t xml:space="preserve"> on the TASC website.</w:t>
            </w:r>
          </w:p>
        </w:tc>
        <w:tc>
          <w:tcPr>
            <w:tcW w:w="11623" w:type="dxa"/>
          </w:tcPr>
          <w:p w14:paraId="20341B4E" w14:textId="77777777" w:rsidR="00751790" w:rsidRPr="00B77C7E" w:rsidRDefault="00751790" w:rsidP="000350C5">
            <w:r w:rsidRPr="00B77C7E">
              <w:t>To ensure the summative assessment instruments used to measure student achievement are fit for purpose and fair, we will:</w:t>
            </w:r>
          </w:p>
          <w:p w14:paraId="0A083E6E" w14:textId="77777777" w:rsidR="00751790" w:rsidRDefault="00751790" w:rsidP="00751790">
            <w:pPr>
              <w:pStyle w:val="ListParagraph"/>
              <w:numPr>
                <w:ilvl w:val="1"/>
                <w:numId w:val="24"/>
              </w:numPr>
              <w:spacing w:before="0" w:after="0"/>
              <w:rPr>
                <w:i/>
                <w:iCs/>
                <w:highlight w:val="lightGray"/>
              </w:rPr>
            </w:pPr>
            <w:r w:rsidRPr="00B77C7E">
              <w:rPr>
                <w:i/>
                <w:iCs/>
                <w:highlight w:val="lightGray"/>
              </w:rPr>
              <w:t>&lt;Check the suitability of planned individual assessment tasks and their weighting against the criteria, including use of a variety of assessment methods (e.g. observations, assignments, tests, peer and self-assessment, oral/multimodal presentations, reports and essays)&gt;</w:t>
            </w:r>
          </w:p>
          <w:p w14:paraId="794FB330" w14:textId="77777777" w:rsidR="00751790" w:rsidRDefault="00751790" w:rsidP="00751790">
            <w:pPr>
              <w:pStyle w:val="ListParagraph"/>
              <w:numPr>
                <w:ilvl w:val="1"/>
                <w:numId w:val="24"/>
              </w:numPr>
              <w:spacing w:before="0" w:after="0"/>
              <w:rPr>
                <w:i/>
                <w:iCs/>
                <w:highlight w:val="lightGray"/>
              </w:rPr>
            </w:pPr>
            <w:r w:rsidRPr="00B77C7E">
              <w:rPr>
                <w:i/>
                <w:iCs/>
                <w:highlight w:val="lightGray"/>
              </w:rPr>
              <w:t xml:space="preserve">Check </w:t>
            </w:r>
            <w:r>
              <w:rPr>
                <w:i/>
                <w:iCs/>
                <w:highlight w:val="lightGray"/>
              </w:rPr>
              <w:t>that</w:t>
            </w:r>
            <w:r w:rsidRPr="00B77C7E">
              <w:rPr>
                <w:i/>
                <w:iCs/>
                <w:highlight w:val="lightGray"/>
              </w:rPr>
              <w:t xml:space="preserve"> planned individual assessment tasks</w:t>
            </w:r>
            <w:r>
              <w:rPr>
                <w:i/>
                <w:iCs/>
                <w:highlight w:val="lightGray"/>
              </w:rPr>
              <w:t xml:space="preserve"> clearly note the criteria (and standard elements if appropriate) that will be assessed</w:t>
            </w:r>
          </w:p>
          <w:p w14:paraId="019A1F3E" w14:textId="77777777" w:rsidR="00751790" w:rsidRPr="00B77C7E" w:rsidRDefault="00751790" w:rsidP="00751790">
            <w:pPr>
              <w:pStyle w:val="ListParagraph"/>
              <w:numPr>
                <w:ilvl w:val="1"/>
                <w:numId w:val="24"/>
              </w:numPr>
              <w:spacing w:before="0" w:after="0"/>
              <w:rPr>
                <w:i/>
                <w:iCs/>
                <w:highlight w:val="lightGray"/>
              </w:rPr>
            </w:pPr>
            <w:r w:rsidRPr="00B77C7E">
              <w:rPr>
                <w:i/>
                <w:iCs/>
                <w:highlight w:val="lightGray"/>
              </w:rPr>
              <w:t xml:space="preserve">Check </w:t>
            </w:r>
            <w:r>
              <w:rPr>
                <w:i/>
                <w:iCs/>
                <w:highlight w:val="lightGray"/>
              </w:rPr>
              <w:t>that</w:t>
            </w:r>
            <w:r w:rsidRPr="00B77C7E">
              <w:rPr>
                <w:i/>
                <w:iCs/>
                <w:highlight w:val="lightGray"/>
              </w:rPr>
              <w:t xml:space="preserve"> planned individual assessment tasks</w:t>
            </w:r>
            <w:r>
              <w:rPr>
                <w:i/>
                <w:iCs/>
                <w:highlight w:val="lightGray"/>
              </w:rPr>
              <w:t xml:space="preserve"> give students clear instructions regarding the required format and scope (e.g. formal essay/report/poster, expected word length)</w:t>
            </w:r>
          </w:p>
          <w:p w14:paraId="10AD4918" w14:textId="77777777" w:rsidR="00751790" w:rsidRPr="00B77C7E" w:rsidRDefault="00751790" w:rsidP="00751790">
            <w:pPr>
              <w:pStyle w:val="ListParagraph"/>
              <w:numPr>
                <w:ilvl w:val="1"/>
                <w:numId w:val="24"/>
              </w:numPr>
              <w:spacing w:before="0" w:after="0"/>
              <w:rPr>
                <w:i/>
                <w:iCs/>
                <w:highlight w:val="lightGray"/>
              </w:rPr>
            </w:pPr>
            <w:r w:rsidRPr="00B77C7E">
              <w:rPr>
                <w:i/>
                <w:iCs/>
                <w:highlight w:val="lightGray"/>
              </w:rPr>
              <w:t>&lt;Set assessment tasks that give students clear performance indicators, have the potential for students to demonstrate the highest standards and that will not privilege or disadvantage certain groups of students&gt;</w:t>
            </w:r>
          </w:p>
          <w:p w14:paraId="62D9E0B4" w14:textId="77777777" w:rsidR="00751790" w:rsidRPr="00B77C7E" w:rsidRDefault="00751790" w:rsidP="00751790">
            <w:pPr>
              <w:pStyle w:val="ListParagraph"/>
              <w:numPr>
                <w:ilvl w:val="1"/>
                <w:numId w:val="24"/>
              </w:numPr>
              <w:spacing w:before="0" w:after="0"/>
              <w:rPr>
                <w:i/>
                <w:iCs/>
                <w:highlight w:val="lightGray"/>
              </w:rPr>
            </w:pPr>
            <w:r w:rsidRPr="00B77C7E">
              <w:rPr>
                <w:i/>
                <w:iCs/>
                <w:highlight w:val="lightGray"/>
              </w:rPr>
              <w:t>&lt;Develop marking guides/tools for consistency of assessment&gt;</w:t>
            </w:r>
          </w:p>
          <w:p w14:paraId="5B8E4D91" w14:textId="77777777" w:rsidR="00751790" w:rsidRPr="00B77C7E" w:rsidRDefault="00751790" w:rsidP="00751790">
            <w:pPr>
              <w:pStyle w:val="ListParagraph"/>
              <w:numPr>
                <w:ilvl w:val="1"/>
                <w:numId w:val="24"/>
              </w:numPr>
              <w:spacing w:before="0" w:after="0"/>
              <w:rPr>
                <w:i/>
                <w:iCs/>
                <w:highlight w:val="lightGray"/>
              </w:rPr>
            </w:pPr>
            <w:r w:rsidRPr="00B77C7E">
              <w:rPr>
                <w:i/>
                <w:iCs/>
                <w:highlight w:val="lightGray"/>
              </w:rPr>
              <w:t>&lt;Any other activities&gt;.</w:t>
            </w:r>
          </w:p>
        </w:tc>
        <w:tc>
          <w:tcPr>
            <w:tcW w:w="3544" w:type="dxa"/>
          </w:tcPr>
          <w:p w14:paraId="7D4292AE"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7E0229B3"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3406A80C"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7E699D1C"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34BD49B0"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317DC77A" w14:textId="77777777" w:rsidTr="000350C5">
        <w:trPr>
          <w:cantSplit/>
        </w:trPr>
        <w:tc>
          <w:tcPr>
            <w:tcW w:w="512" w:type="dxa"/>
          </w:tcPr>
          <w:p w14:paraId="666CCC1B" w14:textId="77777777" w:rsidR="00751790" w:rsidRPr="005232D0" w:rsidRDefault="00751790" w:rsidP="000350C5">
            <w:pPr>
              <w:rPr>
                <w:b/>
                <w:bCs/>
                <w:szCs w:val="24"/>
              </w:rPr>
            </w:pPr>
            <w:r w:rsidRPr="005232D0">
              <w:rPr>
                <w:b/>
                <w:bCs/>
                <w:szCs w:val="24"/>
              </w:rPr>
              <w:t>4</w:t>
            </w:r>
          </w:p>
        </w:tc>
        <w:tc>
          <w:tcPr>
            <w:tcW w:w="2602" w:type="dxa"/>
          </w:tcPr>
          <w:p w14:paraId="76DF0EFB" w14:textId="77777777" w:rsidR="00751790" w:rsidRPr="00B77C7E" w:rsidRDefault="00751790" w:rsidP="000350C5">
            <w:pPr>
              <w:rPr>
                <w:szCs w:val="24"/>
              </w:rPr>
            </w:pPr>
            <w:r w:rsidRPr="00B77C7E">
              <w:rPr>
                <w:szCs w:val="24"/>
              </w:rPr>
              <w:t>Accurate assessment records are maintained.</w:t>
            </w:r>
          </w:p>
        </w:tc>
        <w:tc>
          <w:tcPr>
            <w:tcW w:w="3969" w:type="dxa"/>
          </w:tcPr>
          <w:p w14:paraId="664EB7F4" w14:textId="77777777" w:rsidR="00751790" w:rsidRPr="00B77C7E" w:rsidRDefault="00751790" w:rsidP="00751790">
            <w:pPr>
              <w:pStyle w:val="ListParagraph"/>
              <w:numPr>
                <w:ilvl w:val="0"/>
                <w:numId w:val="17"/>
              </w:numPr>
              <w:spacing w:before="0" w:after="0"/>
            </w:pPr>
            <w:r w:rsidRPr="00B77C7E">
              <w:t>School’s assessment recordkeeping system.</w:t>
            </w:r>
          </w:p>
        </w:tc>
        <w:tc>
          <w:tcPr>
            <w:tcW w:w="11623" w:type="dxa"/>
          </w:tcPr>
          <w:p w14:paraId="74F406BF" w14:textId="77777777" w:rsidR="00751790" w:rsidRPr="00B77C7E" w:rsidRDefault="00751790" w:rsidP="000350C5">
            <w:r w:rsidRPr="00B77C7E">
              <w:t>To ensure that assessment judgements are formally recorded, the records are clear and easy to interpret, and are secure, we will:</w:t>
            </w:r>
          </w:p>
          <w:p w14:paraId="50B3B7EF" w14:textId="77777777" w:rsidR="00751790" w:rsidRPr="00B77C7E" w:rsidRDefault="00751790" w:rsidP="000350C5">
            <w:pPr>
              <w:rPr>
                <w:i/>
                <w:iCs/>
                <w:highlight w:val="lightGray"/>
              </w:rPr>
            </w:pPr>
            <w:r w:rsidRPr="00B77C7E">
              <w:rPr>
                <w:i/>
                <w:iCs/>
                <w:highlight w:val="lightGray"/>
              </w:rPr>
              <w:t>4.1 &lt;Keep full and up-to-date assessment records on an official and centralised system that includes the</w:t>
            </w:r>
          </w:p>
          <w:p w14:paraId="19A4310E"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student’s name</w:t>
            </w:r>
          </w:p>
          <w:p w14:paraId="4AFAA8C6"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date of assessment</w:t>
            </w:r>
          </w:p>
          <w:p w14:paraId="0D2980BC"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assessment task/tool title and description</w:t>
            </w:r>
          </w:p>
          <w:p w14:paraId="0C3C66BF"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criteria (and standard elements, if appropriate) assessed</w:t>
            </w:r>
          </w:p>
          <w:p w14:paraId="043E5494"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relative weighting/significance of the task to overall assessment of the criteria</w:t>
            </w:r>
          </w:p>
          <w:p w14:paraId="663F652A" w14:textId="77777777" w:rsidR="00751790" w:rsidRPr="00B77C7E" w:rsidRDefault="00751790" w:rsidP="00751790">
            <w:pPr>
              <w:pStyle w:val="ListParagraph"/>
              <w:numPr>
                <w:ilvl w:val="1"/>
                <w:numId w:val="12"/>
              </w:numPr>
              <w:spacing w:before="0" w:after="0"/>
              <w:rPr>
                <w:i/>
                <w:iCs/>
                <w:highlight w:val="lightGray"/>
              </w:rPr>
            </w:pPr>
            <w:r w:rsidRPr="00B77C7E">
              <w:rPr>
                <w:i/>
                <w:iCs/>
                <w:highlight w:val="lightGray"/>
              </w:rPr>
              <w:t>level of achievement demonstrated (e.g. C+, 52%, 7/10)&gt;</w:t>
            </w:r>
          </w:p>
          <w:p w14:paraId="2918ED54" w14:textId="77777777" w:rsidR="00751790" w:rsidRPr="00B77C7E" w:rsidRDefault="00751790" w:rsidP="00751790">
            <w:pPr>
              <w:pStyle w:val="ListParagraph"/>
              <w:numPr>
                <w:ilvl w:val="1"/>
                <w:numId w:val="25"/>
              </w:numPr>
              <w:spacing w:before="0" w:after="0"/>
              <w:rPr>
                <w:i/>
                <w:iCs/>
                <w:highlight w:val="lightGray"/>
              </w:rPr>
            </w:pPr>
            <w:r w:rsidRPr="00B77C7E">
              <w:rPr>
                <w:i/>
                <w:iCs/>
                <w:highlight w:val="lightGray"/>
              </w:rPr>
              <w:t>&lt;Keep an articulated final assessment rubric that clearly indicates how final judgements are made for each criteri</w:t>
            </w:r>
            <w:r>
              <w:rPr>
                <w:i/>
                <w:iCs/>
                <w:highlight w:val="lightGray"/>
              </w:rPr>
              <w:t>on</w:t>
            </w:r>
            <w:r w:rsidRPr="00B77C7E">
              <w:rPr>
                <w:i/>
                <w:iCs/>
                <w:highlight w:val="lightGray"/>
              </w:rPr>
              <w:t>&gt;</w:t>
            </w:r>
          </w:p>
          <w:p w14:paraId="3C5566AA" w14:textId="77777777" w:rsidR="00751790" w:rsidRPr="00B77C7E" w:rsidRDefault="00751790" w:rsidP="00751790">
            <w:pPr>
              <w:pStyle w:val="ListParagraph"/>
              <w:numPr>
                <w:ilvl w:val="1"/>
                <w:numId w:val="25"/>
              </w:numPr>
              <w:spacing w:before="0" w:after="0"/>
              <w:rPr>
                <w:i/>
                <w:iCs/>
                <w:highlight w:val="lightGray"/>
              </w:rPr>
            </w:pPr>
            <w:r w:rsidRPr="00B77C7E">
              <w:rPr>
                <w:i/>
                <w:iCs/>
                <w:highlight w:val="lightGray"/>
              </w:rPr>
              <w:t>&lt;Secure assessment records from unauthorised access or loss (i.e. they are backed up)&gt;</w:t>
            </w:r>
          </w:p>
          <w:p w14:paraId="3350559C" w14:textId="77777777" w:rsidR="00751790" w:rsidRPr="00B77C7E" w:rsidRDefault="00751790" w:rsidP="00751790">
            <w:pPr>
              <w:pStyle w:val="ListParagraph"/>
              <w:numPr>
                <w:ilvl w:val="1"/>
                <w:numId w:val="25"/>
              </w:numPr>
              <w:spacing w:before="0" w:after="0"/>
              <w:rPr>
                <w:i/>
                <w:iCs/>
                <w:highlight w:val="lightGray"/>
              </w:rPr>
            </w:pPr>
            <w:r w:rsidRPr="00B77C7E">
              <w:rPr>
                <w:i/>
                <w:iCs/>
                <w:highlight w:val="lightGray"/>
              </w:rPr>
              <w:t>&lt;Any other activities&gt;.</w:t>
            </w:r>
          </w:p>
        </w:tc>
        <w:tc>
          <w:tcPr>
            <w:tcW w:w="3544" w:type="dxa"/>
          </w:tcPr>
          <w:p w14:paraId="2BF110F3"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5A23F47F"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30678B26"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0F51F092"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5586DA9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366E9994" w14:textId="77777777" w:rsidTr="000350C5">
        <w:trPr>
          <w:cantSplit/>
        </w:trPr>
        <w:tc>
          <w:tcPr>
            <w:tcW w:w="512" w:type="dxa"/>
          </w:tcPr>
          <w:p w14:paraId="415A5243" w14:textId="77777777" w:rsidR="00751790" w:rsidRPr="005232D0" w:rsidRDefault="00751790" w:rsidP="000350C5">
            <w:pPr>
              <w:rPr>
                <w:b/>
                <w:bCs/>
                <w:szCs w:val="24"/>
              </w:rPr>
            </w:pPr>
            <w:r w:rsidRPr="005232D0">
              <w:rPr>
                <w:b/>
                <w:bCs/>
                <w:szCs w:val="24"/>
              </w:rPr>
              <w:t>5</w:t>
            </w:r>
          </w:p>
        </w:tc>
        <w:tc>
          <w:tcPr>
            <w:tcW w:w="2602" w:type="dxa"/>
          </w:tcPr>
          <w:p w14:paraId="41129DFF" w14:textId="77777777" w:rsidR="00751790" w:rsidRPr="00B77C7E" w:rsidRDefault="00751790" w:rsidP="000350C5">
            <w:pPr>
              <w:rPr>
                <w:szCs w:val="24"/>
              </w:rPr>
            </w:pPr>
            <w:r w:rsidRPr="00B77C7E">
              <w:rPr>
                <w:szCs w:val="24"/>
              </w:rPr>
              <w:t>Effective and documented procedures to ensure the comparability of the interpretation and application of course standards to the evidence of student work.</w:t>
            </w:r>
          </w:p>
        </w:tc>
        <w:tc>
          <w:tcPr>
            <w:tcW w:w="3969" w:type="dxa"/>
          </w:tcPr>
          <w:p w14:paraId="02440852" w14:textId="77777777" w:rsidR="00751790" w:rsidRPr="00B77C7E" w:rsidRDefault="00751790" w:rsidP="00751790">
            <w:pPr>
              <w:pStyle w:val="ListParagraph"/>
              <w:numPr>
                <w:ilvl w:val="0"/>
                <w:numId w:val="14"/>
              </w:numPr>
              <w:spacing w:before="0" w:after="0"/>
            </w:pPr>
            <w:r>
              <w:t>P</w:t>
            </w:r>
            <w:r w:rsidRPr="006E3083">
              <w:t>olicies and procedures</w:t>
            </w:r>
            <w:r>
              <w:t xml:space="preserve"> to ensure comparability of the interpretation and application of course standards to student work</w:t>
            </w:r>
            <w:r w:rsidRPr="00B77C7E">
              <w:t>.</w:t>
            </w:r>
          </w:p>
          <w:p w14:paraId="06FFEC9D" w14:textId="77777777" w:rsidR="00751790" w:rsidRPr="00B77C7E" w:rsidRDefault="00751790" w:rsidP="00751790">
            <w:pPr>
              <w:pStyle w:val="ListParagraph"/>
              <w:numPr>
                <w:ilvl w:val="0"/>
                <w:numId w:val="14"/>
              </w:numPr>
              <w:spacing w:before="0" w:after="0"/>
            </w:pPr>
            <w:r w:rsidRPr="00B77C7E">
              <w:t xml:space="preserve">Current </w:t>
            </w:r>
            <w:hyperlink r:id="rId11" w:history="1">
              <w:r w:rsidRPr="00B77C7E">
                <w:rPr>
                  <w:rStyle w:val="Hyperlink"/>
                </w:rPr>
                <w:t>Course document</w:t>
              </w:r>
            </w:hyperlink>
            <w:r w:rsidRPr="00B77C7E">
              <w:rPr>
                <w:rStyle w:val="Hyperlink"/>
              </w:rPr>
              <w:t xml:space="preserve"> </w:t>
            </w:r>
            <w:r w:rsidRPr="00B77C7E">
              <w:t xml:space="preserve">and information on </w:t>
            </w:r>
            <w:hyperlink r:id="rId12" w:history="1">
              <w:r w:rsidRPr="00B77C7E">
                <w:rPr>
                  <w:rStyle w:val="Hyperlink"/>
                </w:rPr>
                <w:t>Internal moderation of assessments</w:t>
              </w:r>
            </w:hyperlink>
            <w:r w:rsidRPr="00B77C7E">
              <w:rPr>
                <w:rStyle w:val="Hyperlink"/>
              </w:rPr>
              <w:t xml:space="preserve"> </w:t>
            </w:r>
            <w:r w:rsidRPr="00B77C7E">
              <w:t>on the TASC website.</w:t>
            </w:r>
          </w:p>
        </w:tc>
        <w:tc>
          <w:tcPr>
            <w:tcW w:w="11623" w:type="dxa"/>
          </w:tcPr>
          <w:p w14:paraId="2324E6B5" w14:textId="77777777" w:rsidR="00751790" w:rsidRPr="00B77C7E" w:rsidRDefault="00751790" w:rsidP="000350C5">
            <w:r w:rsidRPr="00B77C7E">
              <w:t>To ensure the reliability and comparability of internal assessment judgements to maintain the validity and integrity of senior secondary qualifications, we will:</w:t>
            </w:r>
          </w:p>
          <w:p w14:paraId="59B3638B" w14:textId="77777777" w:rsidR="00751790" w:rsidRPr="00B77C7E" w:rsidRDefault="00751790" w:rsidP="00751790">
            <w:pPr>
              <w:pStyle w:val="ListParagraph"/>
              <w:numPr>
                <w:ilvl w:val="1"/>
                <w:numId w:val="26"/>
              </w:numPr>
              <w:spacing w:before="0" w:after="0"/>
              <w:rPr>
                <w:i/>
                <w:iCs/>
                <w:highlight w:val="lightGray"/>
              </w:rPr>
            </w:pPr>
            <w:r w:rsidRPr="00B77C7E">
              <w:rPr>
                <w:i/>
                <w:iCs/>
                <w:highlight w:val="lightGray"/>
              </w:rPr>
              <w:t>&lt;Have documented policies and procedures on the activities the schools will undertake to make sure the course standards are consistently applied (may include internal moderation, formal Moderation Days, attending TASC Quality Assurance Meetings, ongoing professional development and learning, including participation as TASC Markers etc)&gt;</w:t>
            </w:r>
          </w:p>
          <w:p w14:paraId="51FEA61F" w14:textId="77777777" w:rsidR="00751790" w:rsidRPr="00B77C7E" w:rsidRDefault="00751790" w:rsidP="00751790">
            <w:pPr>
              <w:pStyle w:val="ListParagraph"/>
              <w:numPr>
                <w:ilvl w:val="1"/>
                <w:numId w:val="26"/>
              </w:numPr>
              <w:spacing w:before="0" w:after="0"/>
              <w:rPr>
                <w:i/>
                <w:iCs/>
                <w:highlight w:val="lightGray"/>
              </w:rPr>
            </w:pPr>
            <w:r w:rsidRPr="00B77C7E">
              <w:rPr>
                <w:i/>
                <w:iCs/>
                <w:highlight w:val="lightGray"/>
              </w:rPr>
              <w:t xml:space="preserve">&lt;Commit to ongoing </w:t>
            </w:r>
            <w:r>
              <w:rPr>
                <w:i/>
                <w:iCs/>
                <w:highlight w:val="lightGray"/>
              </w:rPr>
              <w:t>monitoring</w:t>
            </w:r>
            <w:r w:rsidRPr="00B77C7E">
              <w:rPr>
                <w:i/>
                <w:iCs/>
                <w:highlight w:val="lightGray"/>
              </w:rPr>
              <w:t xml:space="preserve"> to ensure our teachers focus on reliability and comparability of internal assessment</w:t>
            </w:r>
            <w:r>
              <w:rPr>
                <w:i/>
                <w:iCs/>
                <w:highlight w:val="lightGray"/>
              </w:rPr>
              <w:t>,</w:t>
            </w:r>
            <w:r w:rsidRPr="00B77C7E">
              <w:rPr>
                <w:i/>
                <w:iCs/>
                <w:highlight w:val="lightGray"/>
              </w:rPr>
              <w:t xml:space="preserve"> and their roles and responsibilities&gt;</w:t>
            </w:r>
          </w:p>
          <w:p w14:paraId="3137D485" w14:textId="77777777" w:rsidR="00751790" w:rsidRPr="00B77C7E" w:rsidRDefault="00751790" w:rsidP="00751790">
            <w:pPr>
              <w:pStyle w:val="ListParagraph"/>
              <w:numPr>
                <w:ilvl w:val="1"/>
                <w:numId w:val="26"/>
              </w:numPr>
              <w:spacing w:before="0" w:after="0"/>
              <w:rPr>
                <w:i/>
                <w:iCs/>
                <w:highlight w:val="lightGray"/>
              </w:rPr>
            </w:pPr>
            <w:r w:rsidRPr="00B77C7E">
              <w:rPr>
                <w:i/>
                <w:iCs/>
                <w:highlight w:val="lightGray"/>
              </w:rPr>
              <w:t>&lt;Maintaining awareness of and responding to data and analysis, including feedback from Moderation Days, TASC Quality Assurance Meeting Reports</w:t>
            </w:r>
            <w:r>
              <w:rPr>
                <w:i/>
                <w:iCs/>
                <w:highlight w:val="lightGray"/>
              </w:rPr>
              <w:t>,</w:t>
            </w:r>
            <w:r w:rsidRPr="00B77C7E">
              <w:rPr>
                <w:i/>
                <w:iCs/>
                <w:highlight w:val="lightGray"/>
              </w:rPr>
              <w:t xml:space="preserve"> and Level 3 and 4 internal/external rating data&gt;</w:t>
            </w:r>
          </w:p>
          <w:p w14:paraId="45E0C350" w14:textId="77777777" w:rsidR="00751790" w:rsidRPr="00B77C7E" w:rsidRDefault="00751790" w:rsidP="00751790">
            <w:pPr>
              <w:pStyle w:val="ListParagraph"/>
              <w:numPr>
                <w:ilvl w:val="1"/>
                <w:numId w:val="26"/>
              </w:numPr>
              <w:spacing w:before="0" w:after="0"/>
              <w:rPr>
                <w:i/>
                <w:iCs/>
                <w:highlight w:val="lightGray"/>
              </w:rPr>
            </w:pPr>
            <w:r w:rsidRPr="00B77C7E">
              <w:rPr>
                <w:i/>
                <w:iCs/>
                <w:highlight w:val="lightGray"/>
              </w:rPr>
              <w:t>&lt;Any other activities&gt;.</w:t>
            </w:r>
          </w:p>
        </w:tc>
        <w:tc>
          <w:tcPr>
            <w:tcW w:w="3544" w:type="dxa"/>
          </w:tcPr>
          <w:p w14:paraId="5AB1BB76"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6F71912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72DB8074"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69DBCDF6"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30793EE5"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1B3AC0BB" w14:textId="77777777" w:rsidTr="000350C5">
        <w:trPr>
          <w:cantSplit/>
        </w:trPr>
        <w:tc>
          <w:tcPr>
            <w:tcW w:w="512" w:type="dxa"/>
          </w:tcPr>
          <w:p w14:paraId="4C069A0F" w14:textId="77777777" w:rsidR="00751790" w:rsidRPr="005232D0" w:rsidRDefault="00751790" w:rsidP="000350C5">
            <w:pPr>
              <w:rPr>
                <w:b/>
                <w:bCs/>
                <w:szCs w:val="24"/>
              </w:rPr>
            </w:pPr>
            <w:r w:rsidRPr="005232D0">
              <w:rPr>
                <w:b/>
                <w:bCs/>
                <w:szCs w:val="24"/>
              </w:rPr>
              <w:lastRenderedPageBreak/>
              <w:t>6</w:t>
            </w:r>
          </w:p>
        </w:tc>
        <w:tc>
          <w:tcPr>
            <w:tcW w:w="2602" w:type="dxa"/>
          </w:tcPr>
          <w:p w14:paraId="3450FC61" w14:textId="77777777" w:rsidR="00751790" w:rsidRPr="00B77C7E" w:rsidRDefault="00751790" w:rsidP="000350C5">
            <w:pPr>
              <w:rPr>
                <w:szCs w:val="24"/>
              </w:rPr>
            </w:pPr>
            <w:r w:rsidRPr="00B77C7E">
              <w:rPr>
                <w:szCs w:val="24"/>
              </w:rPr>
              <w:t>Policies and procedures to ensure that any disputes regarding internal assessment are resolved prior to final reporting to TASC.</w:t>
            </w:r>
          </w:p>
        </w:tc>
        <w:tc>
          <w:tcPr>
            <w:tcW w:w="3969" w:type="dxa"/>
          </w:tcPr>
          <w:p w14:paraId="21EEE14B" w14:textId="77777777" w:rsidR="00751790" w:rsidRDefault="00751790" w:rsidP="00751790">
            <w:pPr>
              <w:pStyle w:val="ListParagraph"/>
              <w:numPr>
                <w:ilvl w:val="0"/>
                <w:numId w:val="18"/>
              </w:numPr>
              <w:spacing w:before="0" w:after="0"/>
            </w:pPr>
            <w:r w:rsidRPr="00B77C7E">
              <w:t xml:space="preserve">School’s </w:t>
            </w:r>
            <w:bookmarkStart w:id="2" w:name="_Hlk61269495"/>
            <w:r w:rsidRPr="00B77C7E">
              <w:t>assessment reporting policies, procedures and systems</w:t>
            </w:r>
            <w:bookmarkEnd w:id="2"/>
            <w:r>
              <w:t>.</w:t>
            </w:r>
          </w:p>
          <w:p w14:paraId="6445BBBB" w14:textId="77777777" w:rsidR="00751790" w:rsidRPr="00B77C7E" w:rsidRDefault="00751790" w:rsidP="00751790">
            <w:pPr>
              <w:pStyle w:val="ListParagraph"/>
              <w:numPr>
                <w:ilvl w:val="0"/>
                <w:numId w:val="18"/>
              </w:numPr>
              <w:spacing w:before="0" w:after="0"/>
            </w:pPr>
            <w:r>
              <w:t>P</w:t>
            </w:r>
            <w:r w:rsidRPr="00F96E61">
              <w:t>olicies, procedures and systems</w:t>
            </w:r>
            <w:r>
              <w:t xml:space="preserve"> to resolve any disputes regarding final internal ratings &amp; school’s inability to endorse the academic integrity of externally assessed folios</w:t>
            </w:r>
            <w:r w:rsidRPr="00B77C7E">
              <w:t>.</w:t>
            </w:r>
          </w:p>
        </w:tc>
        <w:tc>
          <w:tcPr>
            <w:tcW w:w="11623" w:type="dxa"/>
          </w:tcPr>
          <w:p w14:paraId="623FEBB1" w14:textId="77777777" w:rsidR="00751790" w:rsidRPr="00B77C7E" w:rsidRDefault="00751790" w:rsidP="000350C5">
            <w:r w:rsidRPr="00B77C7E">
              <w:t>To ensure any disputes regarding final internal assessments are resolved before final ratings are provided to TASC in Term 4, we will:</w:t>
            </w:r>
          </w:p>
          <w:p w14:paraId="4941E1AE" w14:textId="77777777" w:rsidR="00751790" w:rsidRPr="00B77C7E" w:rsidRDefault="00751790" w:rsidP="00751790">
            <w:pPr>
              <w:pStyle w:val="ListParagraph"/>
              <w:numPr>
                <w:ilvl w:val="1"/>
                <w:numId w:val="27"/>
              </w:numPr>
              <w:spacing w:before="0" w:after="0"/>
              <w:rPr>
                <w:i/>
                <w:iCs/>
                <w:highlight w:val="lightGray"/>
              </w:rPr>
            </w:pPr>
            <w:r w:rsidRPr="00B77C7E">
              <w:rPr>
                <w:highlight w:val="lightGray"/>
              </w:rPr>
              <w:t>&lt;</w:t>
            </w:r>
            <w:r w:rsidRPr="00B77C7E">
              <w:rPr>
                <w:i/>
                <w:iCs/>
                <w:highlight w:val="lightGray"/>
              </w:rPr>
              <w:t>Have policies, procedures and systems in place to inform students of their predicted final internal ratings, undertake any review in a fair and just manner, and keep records of the process&gt;</w:t>
            </w:r>
          </w:p>
          <w:p w14:paraId="7F7BBE21" w14:textId="77777777" w:rsidR="00751790" w:rsidRPr="00B77C7E" w:rsidRDefault="00751790" w:rsidP="00751790">
            <w:pPr>
              <w:pStyle w:val="ListParagraph"/>
              <w:numPr>
                <w:ilvl w:val="1"/>
                <w:numId w:val="27"/>
              </w:numPr>
              <w:spacing w:before="0" w:after="0"/>
              <w:rPr>
                <w:i/>
                <w:iCs/>
                <w:highlight w:val="lightGray"/>
              </w:rPr>
            </w:pPr>
            <w:r w:rsidRPr="00B77C7E">
              <w:rPr>
                <w:i/>
                <w:iCs/>
                <w:highlight w:val="lightGray"/>
              </w:rPr>
              <w:t xml:space="preserve">&lt;Use a formal notification that includes the teacher and student </w:t>
            </w:r>
            <w:r>
              <w:rPr>
                <w:i/>
                <w:iCs/>
                <w:highlight w:val="lightGray"/>
              </w:rPr>
              <w:t>(and</w:t>
            </w:r>
            <w:r w:rsidRPr="00B77C7E">
              <w:rPr>
                <w:i/>
                <w:iCs/>
                <w:highlight w:val="lightGray"/>
              </w:rPr>
              <w:t xml:space="preserve"> parent</w:t>
            </w:r>
            <w:r>
              <w:rPr>
                <w:i/>
                <w:iCs/>
                <w:highlight w:val="lightGray"/>
              </w:rPr>
              <w:t>/</w:t>
            </w:r>
            <w:r w:rsidRPr="00B77C7E">
              <w:rPr>
                <w:i/>
                <w:iCs/>
                <w:highlight w:val="lightGray"/>
              </w:rPr>
              <w:t xml:space="preserve">guardian </w:t>
            </w:r>
            <w:r>
              <w:rPr>
                <w:i/>
                <w:iCs/>
                <w:highlight w:val="lightGray"/>
              </w:rPr>
              <w:t xml:space="preserve">as appropriate) </w:t>
            </w:r>
            <w:r w:rsidRPr="00B77C7E">
              <w:rPr>
                <w:i/>
                <w:iCs/>
                <w:highlight w:val="lightGray"/>
              </w:rPr>
              <w:t>signing the internal ratings and notifying of the right to review process&gt;</w:t>
            </w:r>
          </w:p>
          <w:p w14:paraId="4939E3BC" w14:textId="77777777" w:rsidR="00751790" w:rsidRPr="00B77C7E" w:rsidRDefault="00751790" w:rsidP="00751790">
            <w:pPr>
              <w:pStyle w:val="ListParagraph"/>
              <w:numPr>
                <w:ilvl w:val="1"/>
                <w:numId w:val="27"/>
              </w:numPr>
              <w:spacing w:before="0" w:after="0"/>
              <w:rPr>
                <w:i/>
                <w:iCs/>
                <w:highlight w:val="lightGray"/>
              </w:rPr>
            </w:pPr>
            <w:r w:rsidRPr="00B77C7E">
              <w:rPr>
                <w:i/>
                <w:iCs/>
                <w:highlight w:val="lightGray"/>
              </w:rPr>
              <w:t>&lt;Have a clearly outlined review process, including who completes the review, timelines, evidence considered etc&gt;</w:t>
            </w:r>
          </w:p>
          <w:p w14:paraId="4CE284EE" w14:textId="77777777" w:rsidR="00751790" w:rsidRPr="00B77C7E" w:rsidRDefault="00751790" w:rsidP="00751790">
            <w:pPr>
              <w:pStyle w:val="ListParagraph"/>
              <w:numPr>
                <w:ilvl w:val="1"/>
                <w:numId w:val="27"/>
              </w:numPr>
              <w:spacing w:before="0" w:after="0"/>
              <w:rPr>
                <w:i/>
                <w:iCs/>
                <w:highlight w:val="lightGray"/>
              </w:rPr>
            </w:pPr>
            <w:r w:rsidRPr="00B77C7E">
              <w:rPr>
                <w:i/>
                <w:iCs/>
                <w:highlight w:val="lightGray"/>
              </w:rPr>
              <w:t>&lt;Any other activities&gt;.</w:t>
            </w:r>
          </w:p>
        </w:tc>
        <w:tc>
          <w:tcPr>
            <w:tcW w:w="3544" w:type="dxa"/>
          </w:tcPr>
          <w:p w14:paraId="29126BF0"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42C3A8FC"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67369A5F"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34CD0BA6"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3944B0AD"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7BEAA38D" w14:textId="77777777" w:rsidTr="000350C5">
        <w:trPr>
          <w:cantSplit/>
        </w:trPr>
        <w:tc>
          <w:tcPr>
            <w:tcW w:w="512" w:type="dxa"/>
          </w:tcPr>
          <w:p w14:paraId="38007E48" w14:textId="77777777" w:rsidR="00751790" w:rsidRPr="005232D0" w:rsidRDefault="00751790" w:rsidP="000350C5">
            <w:pPr>
              <w:rPr>
                <w:b/>
                <w:bCs/>
                <w:szCs w:val="24"/>
              </w:rPr>
            </w:pPr>
            <w:r w:rsidRPr="005232D0">
              <w:rPr>
                <w:b/>
                <w:bCs/>
                <w:szCs w:val="24"/>
              </w:rPr>
              <w:t>7</w:t>
            </w:r>
          </w:p>
        </w:tc>
        <w:tc>
          <w:tcPr>
            <w:tcW w:w="2602" w:type="dxa"/>
          </w:tcPr>
          <w:p w14:paraId="05F95A6A" w14:textId="77777777" w:rsidR="00751790" w:rsidRPr="00B77C7E" w:rsidRDefault="00751790" w:rsidP="000350C5">
            <w:pPr>
              <w:rPr>
                <w:szCs w:val="24"/>
              </w:rPr>
            </w:pPr>
            <w:r w:rsidRPr="00B77C7E">
              <w:rPr>
                <w:szCs w:val="24"/>
              </w:rPr>
              <w:t xml:space="preserve">Students are given explicit learning regarding academic integrity. </w:t>
            </w:r>
          </w:p>
        </w:tc>
        <w:tc>
          <w:tcPr>
            <w:tcW w:w="3969" w:type="dxa"/>
          </w:tcPr>
          <w:p w14:paraId="4A0E4835" w14:textId="77777777" w:rsidR="00751790" w:rsidRPr="00B77C7E" w:rsidRDefault="00751790" w:rsidP="00751790">
            <w:pPr>
              <w:pStyle w:val="ListParagraph"/>
              <w:numPr>
                <w:ilvl w:val="0"/>
                <w:numId w:val="19"/>
              </w:numPr>
              <w:spacing w:before="0" w:after="0"/>
            </w:pPr>
            <w:r w:rsidRPr="00B77C7E">
              <w:t>School’s academic integrity policies and procedures.</w:t>
            </w:r>
          </w:p>
          <w:p w14:paraId="20F4FFD5" w14:textId="77777777" w:rsidR="00751790" w:rsidRPr="00B77C7E" w:rsidRDefault="00751790" w:rsidP="00751790">
            <w:pPr>
              <w:pStyle w:val="ListParagraph"/>
              <w:numPr>
                <w:ilvl w:val="0"/>
                <w:numId w:val="19"/>
              </w:numPr>
              <w:spacing w:before="0" w:after="0"/>
            </w:pPr>
            <w:r w:rsidRPr="00B77C7E">
              <w:t xml:space="preserve">Information on </w:t>
            </w:r>
            <w:hyperlink r:id="rId13" w:history="1">
              <w:r w:rsidRPr="00B77C7E">
                <w:rPr>
                  <w:rStyle w:val="Hyperlink"/>
                </w:rPr>
                <w:t>Academic integrity</w:t>
              </w:r>
            </w:hyperlink>
            <w:r w:rsidRPr="00B77C7E">
              <w:t xml:space="preserve"> on the TASC website, including the </w:t>
            </w:r>
            <w:hyperlink r:id="rId14" w:history="1">
              <w:r w:rsidRPr="00B77C7E">
                <w:rPr>
                  <w:rStyle w:val="Hyperlink"/>
                </w:rPr>
                <w:t>Academic Integrity Guide</w:t>
              </w:r>
            </w:hyperlink>
            <w:r w:rsidRPr="00065C71">
              <w:t>.</w:t>
            </w:r>
          </w:p>
        </w:tc>
        <w:tc>
          <w:tcPr>
            <w:tcW w:w="11623" w:type="dxa"/>
          </w:tcPr>
          <w:p w14:paraId="72075B67" w14:textId="77777777" w:rsidR="00751790" w:rsidRPr="00B77C7E" w:rsidRDefault="00751790" w:rsidP="000350C5">
            <w:r w:rsidRPr="00B77C7E">
              <w:t>To ensure students are given appropriate learning opportunities on authenticity and academic integrity and correct referencing, we will:</w:t>
            </w:r>
          </w:p>
          <w:p w14:paraId="1F4A7422" w14:textId="77777777" w:rsidR="00751790" w:rsidRPr="00B77C7E" w:rsidRDefault="00751790" w:rsidP="00751790">
            <w:pPr>
              <w:pStyle w:val="ListParagraph"/>
              <w:numPr>
                <w:ilvl w:val="1"/>
                <w:numId w:val="28"/>
              </w:numPr>
              <w:spacing w:before="0" w:after="0"/>
              <w:rPr>
                <w:i/>
                <w:iCs/>
                <w:highlight w:val="lightGray"/>
              </w:rPr>
            </w:pPr>
            <w:r w:rsidRPr="00B77C7E">
              <w:rPr>
                <w:i/>
                <w:iCs/>
                <w:highlight w:val="lightGray"/>
              </w:rPr>
              <w:t>&lt;Have school-based policies and procedures on academic integrity and how internal breaches and late submissions of work are managed (also to address Standard 8 – authenticity and academic integrity of externally assessed folios) &gt;</w:t>
            </w:r>
          </w:p>
          <w:p w14:paraId="0655FD9E" w14:textId="77777777" w:rsidR="00751790" w:rsidRPr="00B77C7E" w:rsidRDefault="00751790" w:rsidP="00751790">
            <w:pPr>
              <w:pStyle w:val="ListParagraph"/>
              <w:numPr>
                <w:ilvl w:val="1"/>
                <w:numId w:val="28"/>
              </w:numPr>
              <w:spacing w:before="0" w:after="0"/>
              <w:rPr>
                <w:i/>
                <w:iCs/>
                <w:highlight w:val="lightGray"/>
              </w:rPr>
            </w:pPr>
            <w:r w:rsidRPr="00B77C7E">
              <w:rPr>
                <w:i/>
                <w:iCs/>
                <w:highlight w:val="lightGray"/>
              </w:rPr>
              <w:t xml:space="preserve">&lt;Have teaching staff model best practice of academic integrity in all their course materials and in the </w:t>
            </w:r>
            <w:proofErr w:type="gramStart"/>
            <w:r w:rsidRPr="00B77C7E">
              <w:rPr>
                <w:i/>
                <w:iCs/>
                <w:highlight w:val="lightGray"/>
              </w:rPr>
              <w:t>assessment</w:t>
            </w:r>
            <w:proofErr w:type="gramEnd"/>
            <w:r w:rsidRPr="00B77C7E">
              <w:rPr>
                <w:i/>
                <w:iCs/>
                <w:highlight w:val="lightGray"/>
              </w:rPr>
              <w:t xml:space="preserve"> tasks set for students&gt;</w:t>
            </w:r>
          </w:p>
          <w:p w14:paraId="2BEF51E5" w14:textId="77777777" w:rsidR="00751790" w:rsidRPr="00B77C7E" w:rsidRDefault="00751790" w:rsidP="00751790">
            <w:pPr>
              <w:pStyle w:val="ListParagraph"/>
              <w:numPr>
                <w:ilvl w:val="1"/>
                <w:numId w:val="28"/>
              </w:numPr>
              <w:spacing w:before="0" w:after="0"/>
              <w:rPr>
                <w:i/>
                <w:iCs/>
                <w:highlight w:val="lightGray"/>
              </w:rPr>
            </w:pPr>
            <w:r w:rsidRPr="00B77C7E">
              <w:rPr>
                <w:i/>
                <w:iCs/>
                <w:highlight w:val="lightGray"/>
              </w:rPr>
              <w:t xml:space="preserve">&lt;Distribute the </w:t>
            </w:r>
            <w:hyperlink r:id="rId15" w:history="1">
              <w:r w:rsidRPr="00B77C7E">
                <w:rPr>
                  <w:rStyle w:val="Hyperlink"/>
                  <w:i/>
                  <w:iCs/>
                  <w:highlight w:val="lightGray"/>
                </w:rPr>
                <w:t>Academic Integrity Guide</w:t>
              </w:r>
            </w:hyperlink>
            <w:r w:rsidRPr="00B77C7E">
              <w:rPr>
                <w:i/>
                <w:iCs/>
                <w:highlight w:val="lightGray"/>
              </w:rPr>
              <w:t xml:space="preserve"> to students and include information from the guide in discussions and course work&gt;</w:t>
            </w:r>
          </w:p>
          <w:p w14:paraId="17257A36" w14:textId="77777777" w:rsidR="00751790" w:rsidRPr="00B77C7E" w:rsidRDefault="00751790" w:rsidP="00751790">
            <w:pPr>
              <w:pStyle w:val="ListParagraph"/>
              <w:numPr>
                <w:ilvl w:val="1"/>
                <w:numId w:val="28"/>
              </w:numPr>
              <w:spacing w:before="0" w:after="0"/>
              <w:rPr>
                <w:i/>
                <w:iCs/>
                <w:highlight w:val="lightGray"/>
              </w:rPr>
            </w:pPr>
            <w:r w:rsidRPr="00B77C7E">
              <w:rPr>
                <w:i/>
                <w:iCs/>
                <w:highlight w:val="lightGray"/>
              </w:rPr>
              <w:t>&lt;Any other activities&gt;.</w:t>
            </w:r>
          </w:p>
        </w:tc>
        <w:tc>
          <w:tcPr>
            <w:tcW w:w="3544" w:type="dxa"/>
          </w:tcPr>
          <w:p w14:paraId="13CE300E"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681632AB"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36A2C30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1D21D05F"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35438FA6"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75EA64B5" w14:textId="77777777" w:rsidTr="000350C5">
        <w:trPr>
          <w:cantSplit/>
        </w:trPr>
        <w:tc>
          <w:tcPr>
            <w:tcW w:w="512" w:type="dxa"/>
          </w:tcPr>
          <w:p w14:paraId="739146AA" w14:textId="77777777" w:rsidR="00751790" w:rsidRPr="005232D0" w:rsidRDefault="00751790" w:rsidP="000350C5">
            <w:pPr>
              <w:rPr>
                <w:b/>
                <w:bCs/>
                <w:szCs w:val="24"/>
              </w:rPr>
            </w:pPr>
            <w:r w:rsidRPr="005232D0">
              <w:rPr>
                <w:b/>
                <w:bCs/>
                <w:szCs w:val="24"/>
              </w:rPr>
              <w:t>8</w:t>
            </w:r>
          </w:p>
        </w:tc>
        <w:tc>
          <w:tcPr>
            <w:tcW w:w="2602" w:type="dxa"/>
          </w:tcPr>
          <w:p w14:paraId="2750DE12" w14:textId="77777777" w:rsidR="00751790" w:rsidRPr="00B77C7E" w:rsidRDefault="00751790" w:rsidP="000350C5">
            <w:pPr>
              <w:rPr>
                <w:szCs w:val="24"/>
              </w:rPr>
            </w:pPr>
            <w:r w:rsidRPr="00B77C7E">
              <w:rPr>
                <w:szCs w:val="24"/>
              </w:rPr>
              <w:t>Policies and procedures to ensure that any disputes regarding a school’s refusal to endorse the academic integrity of externally assessed folios are resolved.</w:t>
            </w:r>
          </w:p>
        </w:tc>
        <w:tc>
          <w:tcPr>
            <w:tcW w:w="3969" w:type="dxa"/>
          </w:tcPr>
          <w:p w14:paraId="64642B2F" w14:textId="77777777" w:rsidR="00751790" w:rsidRDefault="00751790" w:rsidP="00751790">
            <w:pPr>
              <w:pStyle w:val="ListParagraph"/>
              <w:numPr>
                <w:ilvl w:val="0"/>
                <w:numId w:val="20"/>
              </w:numPr>
              <w:spacing w:before="0" w:after="0"/>
            </w:pPr>
            <w:r w:rsidRPr="00B77C7E">
              <w:t>School’s academic integrity policies and procedures.</w:t>
            </w:r>
          </w:p>
          <w:p w14:paraId="71D99153" w14:textId="77777777" w:rsidR="00751790" w:rsidRPr="00B77C7E" w:rsidRDefault="00751790" w:rsidP="00751790">
            <w:pPr>
              <w:pStyle w:val="ListParagraph"/>
              <w:numPr>
                <w:ilvl w:val="0"/>
                <w:numId w:val="20"/>
              </w:numPr>
              <w:spacing w:before="0" w:after="0"/>
            </w:pPr>
            <w:r w:rsidRPr="00B77C7E">
              <w:t xml:space="preserve">Information on </w:t>
            </w:r>
            <w:hyperlink r:id="rId16" w:history="1">
              <w:r w:rsidRPr="00B77C7E">
                <w:rPr>
                  <w:rStyle w:val="Hyperlink"/>
                </w:rPr>
                <w:t>Academic integrity</w:t>
              </w:r>
            </w:hyperlink>
            <w:r w:rsidRPr="00B77C7E">
              <w:t xml:space="preserve"> on the TASC website, including the </w:t>
            </w:r>
            <w:hyperlink r:id="rId17" w:history="1">
              <w:r w:rsidRPr="00B77C7E">
                <w:rPr>
                  <w:rStyle w:val="Hyperlink"/>
                </w:rPr>
                <w:t>Academic Integrity Guide</w:t>
              </w:r>
            </w:hyperlink>
            <w:r w:rsidRPr="00065C71">
              <w:t>.</w:t>
            </w:r>
          </w:p>
        </w:tc>
        <w:tc>
          <w:tcPr>
            <w:tcW w:w="11623" w:type="dxa"/>
          </w:tcPr>
          <w:p w14:paraId="42A90288" w14:textId="77777777" w:rsidR="00751790" w:rsidRPr="00B77C7E" w:rsidRDefault="00751790" w:rsidP="000350C5">
            <w:r w:rsidRPr="00B77C7E">
              <w:t xml:space="preserve">To ensure any </w:t>
            </w:r>
            <w:r>
              <w:t>disputes</w:t>
            </w:r>
            <w:r w:rsidRPr="00B77C7E">
              <w:t xml:space="preserve"> related to the school not endorsing the authenticity and academic integrity of externally assessed folios/project work are managed in a fair, reasonable and timely manner, we will:</w:t>
            </w:r>
          </w:p>
          <w:p w14:paraId="68D2EC1A" w14:textId="77777777" w:rsidR="00751790" w:rsidRPr="00B77C7E" w:rsidRDefault="00751790" w:rsidP="00751790">
            <w:pPr>
              <w:pStyle w:val="ListParagraph"/>
              <w:numPr>
                <w:ilvl w:val="1"/>
                <w:numId w:val="29"/>
              </w:numPr>
              <w:spacing w:before="0" w:after="0"/>
              <w:rPr>
                <w:i/>
                <w:iCs/>
                <w:highlight w:val="lightGray"/>
              </w:rPr>
            </w:pPr>
            <w:r w:rsidRPr="00B77C7E">
              <w:rPr>
                <w:i/>
                <w:iCs/>
                <w:highlight w:val="lightGray"/>
              </w:rPr>
              <w:t>&lt;Have school-based policies and procedures on academic integrity of folios/project work, including</w:t>
            </w:r>
          </w:p>
          <w:p w14:paraId="7EB89355"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 xml:space="preserve">How teachers will develop sufficient knowledge of each students’ work as a sound and reasonable basis for endorsing a folio’s authenticity (note – TASC may require this evidence from a school if </w:t>
            </w:r>
            <w:proofErr w:type="gramStart"/>
            <w:r w:rsidRPr="00B77C7E">
              <w:rPr>
                <w:i/>
                <w:iCs/>
                <w:highlight w:val="lightGray"/>
              </w:rPr>
              <w:t>possible</w:t>
            </w:r>
            <w:proofErr w:type="gramEnd"/>
            <w:r w:rsidRPr="00B77C7E">
              <w:rPr>
                <w:i/>
                <w:iCs/>
                <w:highlight w:val="lightGray"/>
              </w:rPr>
              <w:t xml:space="preserve"> breaches of the external assessment rule are found)</w:t>
            </w:r>
          </w:p>
          <w:p w14:paraId="09F927AE"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 xml:space="preserve">How the </w:t>
            </w:r>
            <w:r>
              <w:rPr>
                <w:i/>
                <w:iCs/>
                <w:highlight w:val="lightGray"/>
              </w:rPr>
              <w:t xml:space="preserve">folio </w:t>
            </w:r>
            <w:r w:rsidRPr="00B77C7E">
              <w:rPr>
                <w:i/>
                <w:iCs/>
                <w:highlight w:val="lightGray"/>
              </w:rPr>
              <w:t>development process is monitored</w:t>
            </w:r>
          </w:p>
          <w:p w14:paraId="3674052B"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How a folio will be endorsed if the usual teacher is not available</w:t>
            </w:r>
          </w:p>
          <w:p w14:paraId="1BF71CFD"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 xml:space="preserve">How a student </w:t>
            </w:r>
            <w:r>
              <w:rPr>
                <w:i/>
                <w:iCs/>
                <w:highlight w:val="lightGray"/>
              </w:rPr>
              <w:t>(and</w:t>
            </w:r>
            <w:r w:rsidRPr="00B77C7E">
              <w:rPr>
                <w:i/>
                <w:iCs/>
                <w:highlight w:val="lightGray"/>
              </w:rPr>
              <w:t xml:space="preserve"> parent</w:t>
            </w:r>
            <w:r>
              <w:rPr>
                <w:i/>
                <w:iCs/>
                <w:highlight w:val="lightGray"/>
              </w:rPr>
              <w:t>/</w:t>
            </w:r>
            <w:r w:rsidRPr="00B77C7E">
              <w:rPr>
                <w:i/>
                <w:iCs/>
                <w:highlight w:val="lightGray"/>
              </w:rPr>
              <w:t xml:space="preserve">guardian </w:t>
            </w:r>
            <w:r>
              <w:rPr>
                <w:i/>
                <w:iCs/>
                <w:highlight w:val="lightGray"/>
              </w:rPr>
              <w:t xml:space="preserve">as appropriate) </w:t>
            </w:r>
            <w:r w:rsidRPr="00B77C7E">
              <w:rPr>
                <w:i/>
                <w:iCs/>
                <w:highlight w:val="lightGray"/>
              </w:rPr>
              <w:t>are notified of the decision to not endorse and the right to review process</w:t>
            </w:r>
          </w:p>
          <w:p w14:paraId="721FCBA2"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Having a clearly outlined review process, including who completes review, timelines, evidence considered etc</w:t>
            </w:r>
          </w:p>
          <w:p w14:paraId="48D3E8C2" w14:textId="77777777" w:rsidR="00751790" w:rsidRPr="00B77C7E" w:rsidRDefault="00751790" w:rsidP="00751790">
            <w:pPr>
              <w:pStyle w:val="ListParagraph"/>
              <w:numPr>
                <w:ilvl w:val="1"/>
                <w:numId w:val="13"/>
              </w:numPr>
              <w:spacing w:before="0" w:after="0"/>
              <w:rPr>
                <w:i/>
                <w:iCs/>
                <w:highlight w:val="lightGray"/>
              </w:rPr>
            </w:pPr>
            <w:r w:rsidRPr="00B77C7E">
              <w:rPr>
                <w:i/>
                <w:iCs/>
                <w:highlight w:val="lightGray"/>
              </w:rPr>
              <w:t>How TASC is notified of the review outcome ASAP&gt;</w:t>
            </w:r>
          </w:p>
          <w:p w14:paraId="04952B54" w14:textId="77777777" w:rsidR="00751790" w:rsidRPr="00B77C7E" w:rsidRDefault="00751790" w:rsidP="00751790">
            <w:pPr>
              <w:pStyle w:val="ListParagraph"/>
              <w:numPr>
                <w:ilvl w:val="1"/>
                <w:numId w:val="29"/>
              </w:numPr>
              <w:spacing w:before="0" w:after="0"/>
              <w:rPr>
                <w:i/>
                <w:iCs/>
                <w:highlight w:val="lightGray"/>
              </w:rPr>
            </w:pPr>
            <w:r w:rsidRPr="00B77C7E">
              <w:rPr>
                <w:i/>
                <w:iCs/>
                <w:highlight w:val="lightGray"/>
              </w:rPr>
              <w:t>&lt;Share information about the school policies and procedures with students, including how/when to update the teacher during the folio development process&gt;</w:t>
            </w:r>
          </w:p>
          <w:p w14:paraId="69ABE89D" w14:textId="77777777" w:rsidR="00751790" w:rsidRPr="00B77C7E" w:rsidRDefault="00751790" w:rsidP="00751790">
            <w:pPr>
              <w:pStyle w:val="ListParagraph"/>
              <w:numPr>
                <w:ilvl w:val="1"/>
                <w:numId w:val="29"/>
              </w:numPr>
              <w:spacing w:before="0" w:after="0"/>
              <w:rPr>
                <w:i/>
                <w:iCs/>
                <w:highlight w:val="lightGray"/>
              </w:rPr>
            </w:pPr>
            <w:r w:rsidRPr="00B77C7E">
              <w:rPr>
                <w:i/>
                <w:iCs/>
                <w:highlight w:val="lightGray"/>
              </w:rPr>
              <w:t>&lt;Any other activities&gt;.</w:t>
            </w:r>
          </w:p>
        </w:tc>
        <w:tc>
          <w:tcPr>
            <w:tcW w:w="3544" w:type="dxa"/>
          </w:tcPr>
          <w:p w14:paraId="0307CA99"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5CF3F0D9"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156BA78D"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5E079A39"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64B459EA"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39FC9603" w14:textId="77777777" w:rsidTr="000350C5">
        <w:trPr>
          <w:cantSplit/>
        </w:trPr>
        <w:tc>
          <w:tcPr>
            <w:tcW w:w="512" w:type="dxa"/>
          </w:tcPr>
          <w:p w14:paraId="3C2679E0" w14:textId="77777777" w:rsidR="00751790" w:rsidRPr="005232D0" w:rsidRDefault="00751790" w:rsidP="000350C5">
            <w:pPr>
              <w:rPr>
                <w:b/>
                <w:bCs/>
                <w:szCs w:val="24"/>
              </w:rPr>
            </w:pPr>
            <w:r w:rsidRPr="005232D0">
              <w:rPr>
                <w:b/>
                <w:bCs/>
                <w:szCs w:val="24"/>
              </w:rPr>
              <w:lastRenderedPageBreak/>
              <w:t>9</w:t>
            </w:r>
          </w:p>
        </w:tc>
        <w:tc>
          <w:tcPr>
            <w:tcW w:w="2602" w:type="dxa"/>
          </w:tcPr>
          <w:p w14:paraId="2B1E659C" w14:textId="77777777" w:rsidR="00751790" w:rsidRPr="00B77C7E" w:rsidRDefault="00751790" w:rsidP="000350C5">
            <w:pPr>
              <w:rPr>
                <w:szCs w:val="24"/>
              </w:rPr>
            </w:pPr>
            <w:r w:rsidRPr="00B77C7E">
              <w:rPr>
                <w:szCs w:val="24"/>
              </w:rPr>
              <w:t>Undertaking all quality assurance processes required by the Office of TASC.</w:t>
            </w:r>
          </w:p>
        </w:tc>
        <w:tc>
          <w:tcPr>
            <w:tcW w:w="3969" w:type="dxa"/>
          </w:tcPr>
          <w:p w14:paraId="482CE657" w14:textId="77777777" w:rsidR="00751790" w:rsidRDefault="00751790" w:rsidP="00751790">
            <w:pPr>
              <w:pStyle w:val="ListParagraph"/>
              <w:numPr>
                <w:ilvl w:val="0"/>
                <w:numId w:val="21"/>
              </w:numPr>
              <w:spacing w:before="0" w:after="0"/>
            </w:pPr>
            <w:r w:rsidRPr="00B77C7E">
              <w:t xml:space="preserve">Information on </w:t>
            </w:r>
            <w:hyperlink r:id="rId18" w:history="1">
              <w:r w:rsidRPr="00B77C7E">
                <w:rPr>
                  <w:rStyle w:val="Hyperlink"/>
                </w:rPr>
                <w:t>Quality assurance</w:t>
              </w:r>
            </w:hyperlink>
            <w:r w:rsidRPr="00B77C7E">
              <w:t xml:space="preserve"> on the TASC website</w:t>
            </w:r>
            <w:r>
              <w:t>.</w:t>
            </w:r>
          </w:p>
          <w:p w14:paraId="7D8D7B2F" w14:textId="77777777" w:rsidR="00751790" w:rsidRPr="00B77C7E" w:rsidRDefault="00F666A9" w:rsidP="00751790">
            <w:pPr>
              <w:pStyle w:val="ListParagraph"/>
              <w:numPr>
                <w:ilvl w:val="0"/>
                <w:numId w:val="21"/>
              </w:numPr>
              <w:spacing w:before="0" w:after="0"/>
            </w:pPr>
            <w:hyperlink r:id="rId19" w:history="1">
              <w:r w:rsidR="00751790" w:rsidRPr="00531EA7">
                <w:rPr>
                  <w:rStyle w:val="Hyperlink"/>
                </w:rPr>
                <w:t xml:space="preserve">Standards for </w:t>
              </w:r>
              <w:r w:rsidR="00751790">
                <w:rPr>
                  <w:rStyle w:val="Hyperlink"/>
                </w:rPr>
                <w:t>P</w:t>
              </w:r>
              <w:r w:rsidR="00751790" w:rsidRPr="00531EA7">
                <w:rPr>
                  <w:rStyle w:val="Hyperlink"/>
                </w:rPr>
                <w:t>roviders</w:t>
              </w:r>
            </w:hyperlink>
            <w:r w:rsidR="00751790">
              <w:rPr>
                <w:rStyle w:val="Hyperlink"/>
              </w:rPr>
              <w:t xml:space="preserve"> </w:t>
            </w:r>
            <w:r w:rsidR="00751790">
              <w:t>–</w:t>
            </w:r>
            <w:r w:rsidR="00751790" w:rsidRPr="008B3AAA">
              <w:t xml:space="preserve"> Appendix</w:t>
            </w:r>
            <w:r w:rsidR="00751790">
              <w:t xml:space="preserve"> 1 recordkeeping and archives.</w:t>
            </w:r>
          </w:p>
        </w:tc>
        <w:tc>
          <w:tcPr>
            <w:tcW w:w="11623" w:type="dxa"/>
          </w:tcPr>
          <w:p w14:paraId="37BBA346" w14:textId="77777777" w:rsidR="00751790" w:rsidRPr="00B77C7E" w:rsidRDefault="00751790" w:rsidP="000350C5">
            <w:r w:rsidRPr="00B77C7E">
              <w:t>To ensure clear and robust formal quality assurance activities for the reliability, validity and integrity of TASC qualifications, we will:</w:t>
            </w:r>
          </w:p>
          <w:p w14:paraId="34738F2B"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&lt;Participate in TASC Quality Assurance Meetings as the school’s representative for the selected courses, including being fully prepared with all required student work and record sheets&gt;</w:t>
            </w:r>
          </w:p>
          <w:p w14:paraId="50483D30"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&lt;Undertake school-based analysis and actioning of Quality Assurance Meeting Reports (Term 4 of the meeting year and second report in early Term 1 the following year)&gt;</w:t>
            </w:r>
          </w:p>
          <w:p w14:paraId="7E6028BC"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&lt;Submit materials to TASC for desktop audit as per course requirements (Work Readiness Level 2, Project Implementation Level 2 and Student Directed Enquiry Level 3)&gt;</w:t>
            </w:r>
          </w:p>
          <w:p w14:paraId="4A07AD61"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&lt;Participate in desktop audits of selected courses/providers (as notified by TASC)&gt;</w:t>
            </w:r>
          </w:p>
          <w:p w14:paraId="23935076"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&lt;Participate in Regional Quality Assurance Workshops as selected by TASC&gt;</w:t>
            </w:r>
          </w:p>
          <w:p w14:paraId="658279C2"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&lt;Facilitate site-visit audits held by TASC, including any pre-visit action, availability of facilities, staff and materials for the audit and commitment to undertaking actions identified in the findings&gt;</w:t>
            </w:r>
          </w:p>
          <w:p w14:paraId="5985FED6" w14:textId="77777777" w:rsidR="00751790" w:rsidRPr="00B77C7E" w:rsidRDefault="00751790" w:rsidP="00751790">
            <w:pPr>
              <w:pStyle w:val="ListParagraph"/>
              <w:numPr>
                <w:ilvl w:val="1"/>
                <w:numId w:val="30"/>
              </w:numPr>
              <w:spacing w:before="0" w:after="0"/>
              <w:rPr>
                <w:i/>
                <w:iCs/>
                <w:highlight w:val="lightGray"/>
              </w:rPr>
            </w:pPr>
            <w:r w:rsidRPr="00B77C7E">
              <w:rPr>
                <w:i/>
                <w:iCs/>
                <w:highlight w:val="lightGray"/>
              </w:rPr>
              <w:t>&lt;Any other activities&gt;.</w:t>
            </w:r>
          </w:p>
        </w:tc>
        <w:tc>
          <w:tcPr>
            <w:tcW w:w="3544" w:type="dxa"/>
          </w:tcPr>
          <w:p w14:paraId="048E3F26"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60193B64"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43085A13"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32745036"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33360222"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r w:rsidR="00751790" w:rsidRPr="00B77C7E" w14:paraId="26C5A402" w14:textId="77777777" w:rsidTr="000350C5">
        <w:trPr>
          <w:cantSplit/>
        </w:trPr>
        <w:tc>
          <w:tcPr>
            <w:tcW w:w="512" w:type="dxa"/>
          </w:tcPr>
          <w:p w14:paraId="2A13CBC1" w14:textId="77777777" w:rsidR="00751790" w:rsidRPr="005232D0" w:rsidRDefault="00751790" w:rsidP="000350C5">
            <w:pPr>
              <w:rPr>
                <w:b/>
                <w:bCs/>
                <w:szCs w:val="24"/>
              </w:rPr>
            </w:pPr>
            <w:r w:rsidRPr="005232D0">
              <w:rPr>
                <w:b/>
                <w:bCs/>
                <w:szCs w:val="24"/>
              </w:rPr>
              <w:t>10</w:t>
            </w:r>
          </w:p>
        </w:tc>
        <w:tc>
          <w:tcPr>
            <w:tcW w:w="2602" w:type="dxa"/>
          </w:tcPr>
          <w:p w14:paraId="547C7CB6" w14:textId="77777777" w:rsidR="00751790" w:rsidRPr="00B77C7E" w:rsidRDefault="00751790" w:rsidP="000350C5">
            <w:pPr>
              <w:rPr>
                <w:szCs w:val="24"/>
              </w:rPr>
            </w:pPr>
            <w:r w:rsidRPr="00B77C7E">
              <w:rPr>
                <w:szCs w:val="24"/>
              </w:rPr>
              <w:t xml:space="preserve">The registered scope of courses and associated enrolments are accurate and </w:t>
            </w:r>
            <w:proofErr w:type="gramStart"/>
            <w:r w:rsidRPr="00B77C7E">
              <w:rPr>
                <w:szCs w:val="24"/>
              </w:rPr>
              <w:t>up-to-date</w:t>
            </w:r>
            <w:proofErr w:type="gramEnd"/>
            <w:r w:rsidRPr="00B77C7E">
              <w:rPr>
                <w:szCs w:val="24"/>
              </w:rPr>
              <w:t>, having policies and procedures regarding student movement between courses and that final reporting to TASC occurs by due dates.</w:t>
            </w:r>
          </w:p>
        </w:tc>
        <w:tc>
          <w:tcPr>
            <w:tcW w:w="3969" w:type="dxa"/>
          </w:tcPr>
          <w:p w14:paraId="46C9248A" w14:textId="77777777" w:rsidR="00751790" w:rsidRPr="00B77C7E" w:rsidRDefault="00751790" w:rsidP="00751790">
            <w:pPr>
              <w:pStyle w:val="ListParagraph"/>
              <w:numPr>
                <w:ilvl w:val="0"/>
                <w:numId w:val="22"/>
              </w:numPr>
              <w:spacing w:before="0" w:after="0"/>
            </w:pPr>
            <w:r w:rsidRPr="00B77C7E">
              <w:t>School’s enrolment policies and procedures on student movement/change of courses during the year.</w:t>
            </w:r>
          </w:p>
          <w:p w14:paraId="2D8B947B" w14:textId="77777777" w:rsidR="00751790" w:rsidRPr="000D00D3" w:rsidRDefault="00F666A9" w:rsidP="00751790">
            <w:pPr>
              <w:pStyle w:val="ListParagraph"/>
              <w:numPr>
                <w:ilvl w:val="0"/>
                <w:numId w:val="22"/>
              </w:numPr>
              <w:spacing w:before="0" w:after="0"/>
            </w:pPr>
            <w:hyperlink r:id="rId20" w:history="1">
              <w:r w:rsidR="00751790" w:rsidRPr="00025819">
                <w:rPr>
                  <w:rStyle w:val="Hyperlink"/>
                </w:rPr>
                <w:t>TRACS</w:t>
              </w:r>
            </w:hyperlink>
            <w:r w:rsidR="00751790" w:rsidRPr="000D00D3">
              <w:t xml:space="preserve"> – TASC’s student assessment and certification data management system</w:t>
            </w:r>
            <w:r w:rsidR="00751790">
              <w:t>.</w:t>
            </w:r>
          </w:p>
        </w:tc>
        <w:tc>
          <w:tcPr>
            <w:tcW w:w="11623" w:type="dxa"/>
          </w:tcPr>
          <w:p w14:paraId="5ECBFE0F" w14:textId="77777777" w:rsidR="00751790" w:rsidRPr="00B77C7E" w:rsidRDefault="00751790" w:rsidP="000350C5">
            <w:r w:rsidRPr="00B77C7E">
              <w:t xml:space="preserve">To ensure that the registered scope of courses and enrolments are accurate and </w:t>
            </w:r>
            <w:proofErr w:type="gramStart"/>
            <w:r w:rsidRPr="00B77C7E">
              <w:t>up-to-date</w:t>
            </w:r>
            <w:proofErr w:type="gramEnd"/>
            <w:r w:rsidRPr="00B77C7E">
              <w:t xml:space="preserve"> with any student movement, and the final reporting is completed by the due dates for resulting and qualifications, we will:</w:t>
            </w:r>
          </w:p>
          <w:p w14:paraId="52DE7B50" w14:textId="77777777" w:rsidR="00751790" w:rsidRPr="00B77C7E" w:rsidRDefault="00751790" w:rsidP="00751790">
            <w:pPr>
              <w:pStyle w:val="ListParagraph"/>
              <w:numPr>
                <w:ilvl w:val="1"/>
                <w:numId w:val="31"/>
              </w:numPr>
              <w:spacing w:before="0" w:after="0"/>
              <w:rPr>
                <w:i/>
                <w:iCs/>
                <w:highlight w:val="lightGray"/>
              </w:rPr>
            </w:pPr>
            <w:r w:rsidRPr="00B77C7E">
              <w:rPr>
                <w:i/>
                <w:iCs/>
                <w:highlight w:val="lightGray"/>
              </w:rPr>
              <w:t>&lt;Register the school’s scope of courses in TRACS as part of the annual provider registration process, and the TLO/Principal to make a requests for addition/removal of a course when the course change is first planned (Note – addition of a course to scope in Term 3 onwards requires specific evidence)&gt;</w:t>
            </w:r>
          </w:p>
          <w:p w14:paraId="3C2D7B30" w14:textId="77777777" w:rsidR="00751790" w:rsidRPr="00B77C7E" w:rsidRDefault="00751790" w:rsidP="00751790">
            <w:pPr>
              <w:pStyle w:val="ListParagraph"/>
              <w:numPr>
                <w:ilvl w:val="1"/>
                <w:numId w:val="31"/>
              </w:numPr>
              <w:spacing w:before="0" w:after="0"/>
              <w:rPr>
                <w:i/>
                <w:iCs/>
                <w:highlight w:val="lightGray"/>
              </w:rPr>
            </w:pPr>
            <w:r w:rsidRPr="00B77C7E">
              <w:rPr>
                <w:i/>
                <w:iCs/>
                <w:highlight w:val="lightGray"/>
              </w:rPr>
              <w:t>&lt;Keep student enrolment details in TRACS up-to-date and accurate over the year&gt;</w:t>
            </w:r>
          </w:p>
          <w:p w14:paraId="37DBB316" w14:textId="77777777" w:rsidR="00751790" w:rsidRPr="00B77C7E" w:rsidRDefault="00751790" w:rsidP="00751790">
            <w:pPr>
              <w:pStyle w:val="ListParagraph"/>
              <w:numPr>
                <w:ilvl w:val="1"/>
                <w:numId w:val="31"/>
              </w:numPr>
              <w:spacing w:before="0" w:after="0"/>
              <w:rPr>
                <w:i/>
                <w:iCs/>
                <w:highlight w:val="lightGray"/>
              </w:rPr>
            </w:pPr>
            <w:r w:rsidRPr="00B77C7E">
              <w:rPr>
                <w:i/>
                <w:iCs/>
                <w:highlight w:val="lightGray"/>
              </w:rPr>
              <w:t>&lt;Have school-based policies and procedures on student movement</w:t>
            </w:r>
            <w:r>
              <w:rPr>
                <w:i/>
                <w:iCs/>
                <w:highlight w:val="lightGray"/>
              </w:rPr>
              <w:t xml:space="preserve"> between </w:t>
            </w:r>
            <w:r w:rsidRPr="00B77C7E">
              <w:rPr>
                <w:i/>
                <w:iCs/>
                <w:highlight w:val="lightGray"/>
              </w:rPr>
              <w:t>courses, including how the course content and work requirements of the new course will be completed (Note –</w:t>
            </w:r>
            <w:r w:rsidRPr="00CE37AF">
              <w:rPr>
                <w:i/>
                <w:iCs/>
                <w:highlight w:val="lightGray"/>
              </w:rPr>
              <w:t>In</w:t>
            </w:r>
            <w:r>
              <w:rPr>
                <w:i/>
                <w:iCs/>
                <w:highlight w:val="lightGray"/>
              </w:rPr>
              <w:t xml:space="preserve"> </w:t>
            </w:r>
            <w:r w:rsidRPr="00CE37AF">
              <w:rPr>
                <w:i/>
                <w:iCs/>
                <w:highlight w:val="lightGray"/>
              </w:rPr>
              <w:t>Term 3,</w:t>
            </w:r>
            <w:r>
              <w:rPr>
                <w:i/>
                <w:iCs/>
                <w:highlight w:val="lightGray"/>
              </w:rPr>
              <w:t xml:space="preserve"> </w:t>
            </w:r>
            <w:r w:rsidRPr="00CE37AF">
              <w:rPr>
                <w:i/>
                <w:iCs/>
                <w:highlight w:val="lightGray"/>
              </w:rPr>
              <w:t>enrolments are fixed. Any</w:t>
            </w:r>
            <w:r>
              <w:rPr>
                <w:i/>
                <w:iCs/>
                <w:highlight w:val="lightGray"/>
              </w:rPr>
              <w:t xml:space="preserve"> </w:t>
            </w:r>
            <w:r w:rsidRPr="00CE37AF">
              <w:rPr>
                <w:i/>
                <w:iCs/>
                <w:highlight w:val="lightGray"/>
              </w:rPr>
              <w:t>subsequent</w:t>
            </w:r>
            <w:r>
              <w:rPr>
                <w:i/>
                <w:iCs/>
                <w:highlight w:val="lightGray"/>
              </w:rPr>
              <w:t xml:space="preserve"> </w:t>
            </w:r>
            <w:r w:rsidRPr="00CE37AF">
              <w:rPr>
                <w:i/>
                <w:iCs/>
                <w:highlight w:val="lightGray"/>
              </w:rPr>
              <w:t>change</w:t>
            </w:r>
            <w:r>
              <w:rPr>
                <w:i/>
                <w:iCs/>
                <w:highlight w:val="lightGray"/>
              </w:rPr>
              <w:t xml:space="preserve"> </w:t>
            </w:r>
            <w:r w:rsidRPr="00CE37AF">
              <w:rPr>
                <w:i/>
                <w:iCs/>
                <w:highlight w:val="lightGray"/>
              </w:rPr>
              <w:t xml:space="preserve">of enrolment to a </w:t>
            </w:r>
            <w:r w:rsidRPr="00CE37AF">
              <w:rPr>
                <w:i/>
                <w:iCs/>
                <w:highlight w:val="lightGray"/>
                <w:u w:val="single"/>
              </w:rPr>
              <w:t>new TASC course</w:t>
            </w:r>
            <w:r>
              <w:rPr>
                <w:i/>
                <w:iCs/>
                <w:highlight w:val="lightGray"/>
              </w:rPr>
              <w:t xml:space="preserve"> </w:t>
            </w:r>
            <w:r w:rsidRPr="00CE37AF">
              <w:rPr>
                <w:i/>
                <w:iCs/>
                <w:highlight w:val="lightGray"/>
              </w:rPr>
              <w:t>requires</w:t>
            </w:r>
            <w:r>
              <w:rPr>
                <w:i/>
                <w:iCs/>
                <w:highlight w:val="lightGray"/>
              </w:rPr>
              <w:t xml:space="preserve"> </w:t>
            </w:r>
            <w:r w:rsidRPr="00CE37AF">
              <w:rPr>
                <w:i/>
                <w:iCs/>
                <w:highlight w:val="lightGray"/>
              </w:rPr>
              <w:t>TASC approval and evidence of the management of the course change</w:t>
            </w:r>
            <w:r>
              <w:rPr>
                <w:i/>
                <w:iCs/>
                <w:highlight w:val="lightGray"/>
              </w:rPr>
              <w:t xml:space="preserve"> </w:t>
            </w:r>
            <w:r w:rsidRPr="00B77C7E">
              <w:rPr>
                <w:i/>
                <w:iCs/>
                <w:highlight w:val="lightGray"/>
              </w:rPr>
              <w:t>– student</w:t>
            </w:r>
            <w:r>
              <w:rPr>
                <w:i/>
                <w:iCs/>
                <w:highlight w:val="lightGray"/>
              </w:rPr>
              <w:t>s</w:t>
            </w:r>
            <w:r w:rsidRPr="00B77C7E">
              <w:rPr>
                <w:i/>
                <w:iCs/>
                <w:highlight w:val="lightGray"/>
              </w:rPr>
              <w:t xml:space="preserve"> </w:t>
            </w:r>
            <w:r>
              <w:rPr>
                <w:i/>
                <w:iCs/>
                <w:highlight w:val="lightGray"/>
              </w:rPr>
              <w:t xml:space="preserve">can be </w:t>
            </w:r>
            <w:r w:rsidRPr="008E255A">
              <w:rPr>
                <w:i/>
                <w:iCs/>
                <w:highlight w:val="lightGray"/>
                <w:u w:val="single"/>
              </w:rPr>
              <w:t>withdraw</w:t>
            </w:r>
            <w:r>
              <w:rPr>
                <w:i/>
                <w:iCs/>
                <w:highlight w:val="lightGray"/>
                <w:u w:val="single"/>
              </w:rPr>
              <w:t>n</w:t>
            </w:r>
            <w:r w:rsidRPr="008E255A">
              <w:rPr>
                <w:i/>
                <w:iCs/>
                <w:highlight w:val="lightGray"/>
                <w:u w:val="single"/>
              </w:rPr>
              <w:t xml:space="preserve"> </w:t>
            </w:r>
            <w:r w:rsidRPr="00B77C7E">
              <w:rPr>
                <w:i/>
                <w:iCs/>
                <w:highlight w:val="lightGray"/>
              </w:rPr>
              <w:t xml:space="preserve">from a </w:t>
            </w:r>
            <w:proofErr w:type="gramStart"/>
            <w:r w:rsidRPr="00B77C7E">
              <w:rPr>
                <w:i/>
                <w:iCs/>
                <w:highlight w:val="lightGray"/>
              </w:rPr>
              <w:t>course</w:t>
            </w:r>
            <w:proofErr w:type="gramEnd"/>
            <w:r>
              <w:rPr>
                <w:i/>
                <w:iCs/>
                <w:highlight w:val="lightGray"/>
              </w:rPr>
              <w:t xml:space="preserve"> but the request must be made </w:t>
            </w:r>
            <w:r w:rsidRPr="00B77C7E">
              <w:rPr>
                <w:i/>
                <w:iCs/>
                <w:highlight w:val="lightGray"/>
              </w:rPr>
              <w:t xml:space="preserve">by the TLO/Principal </w:t>
            </w:r>
            <w:r>
              <w:rPr>
                <w:i/>
                <w:iCs/>
                <w:highlight w:val="lightGray"/>
              </w:rPr>
              <w:t xml:space="preserve">immediately </w:t>
            </w:r>
            <w:r w:rsidRPr="00B77C7E">
              <w:rPr>
                <w:i/>
                <w:iCs/>
                <w:highlight w:val="lightGray"/>
              </w:rPr>
              <w:t>via TRACS)&gt;</w:t>
            </w:r>
          </w:p>
          <w:p w14:paraId="027213E2" w14:textId="77777777" w:rsidR="00751790" w:rsidRPr="00B77C7E" w:rsidRDefault="00751790" w:rsidP="00751790">
            <w:pPr>
              <w:pStyle w:val="ListParagraph"/>
              <w:numPr>
                <w:ilvl w:val="1"/>
                <w:numId w:val="31"/>
              </w:numPr>
              <w:spacing w:before="0" w:after="0"/>
              <w:rPr>
                <w:i/>
                <w:iCs/>
                <w:highlight w:val="lightGray"/>
              </w:rPr>
            </w:pPr>
            <w:r w:rsidRPr="00B77C7E">
              <w:rPr>
                <w:i/>
                <w:iCs/>
                <w:highlight w:val="lightGray"/>
              </w:rPr>
              <w:t xml:space="preserve">&lt;Have a process to ensure all final internal ratings are reported to TASC </w:t>
            </w:r>
            <w:r>
              <w:rPr>
                <w:i/>
                <w:iCs/>
                <w:highlight w:val="lightGray"/>
              </w:rPr>
              <w:t xml:space="preserve">and verified </w:t>
            </w:r>
            <w:r w:rsidRPr="00B77C7E">
              <w:rPr>
                <w:i/>
                <w:iCs/>
                <w:highlight w:val="lightGray"/>
              </w:rPr>
              <w:t>before the due dates in Term</w:t>
            </w:r>
            <w:r>
              <w:rPr>
                <w:i/>
                <w:iCs/>
                <w:highlight w:val="lightGray"/>
              </w:rPr>
              <w:t> </w:t>
            </w:r>
            <w:r w:rsidRPr="00B77C7E">
              <w:rPr>
                <w:i/>
                <w:iCs/>
                <w:highlight w:val="lightGray"/>
              </w:rPr>
              <w:t>4 (Note – change to a final internal rating after the verification process will require specific evidence to support the rating change)&gt;</w:t>
            </w:r>
          </w:p>
          <w:p w14:paraId="6D71841D" w14:textId="77777777" w:rsidR="00751790" w:rsidRPr="00B77C7E" w:rsidRDefault="00751790" w:rsidP="00751790">
            <w:pPr>
              <w:pStyle w:val="ListParagraph"/>
              <w:numPr>
                <w:ilvl w:val="1"/>
                <w:numId w:val="31"/>
              </w:numPr>
              <w:spacing w:before="0" w:after="0"/>
              <w:rPr>
                <w:i/>
                <w:iCs/>
                <w:highlight w:val="lightGray"/>
              </w:rPr>
            </w:pPr>
            <w:r w:rsidRPr="00B77C7E">
              <w:rPr>
                <w:i/>
                <w:iCs/>
                <w:highlight w:val="lightGray"/>
              </w:rPr>
              <w:t>&lt;Any other activities&gt;.</w:t>
            </w:r>
          </w:p>
        </w:tc>
        <w:tc>
          <w:tcPr>
            <w:tcW w:w="3544" w:type="dxa"/>
          </w:tcPr>
          <w:p w14:paraId="36E64386" w14:textId="77777777" w:rsidR="00751790" w:rsidRPr="00B77C7E" w:rsidRDefault="00751790" w:rsidP="000350C5">
            <w:pPr>
              <w:rPr>
                <w:i/>
                <w:iCs/>
                <w:highlight w:val="lightGray"/>
              </w:rPr>
            </w:pPr>
            <w:r w:rsidRPr="00B77C7E">
              <w:rPr>
                <w:i/>
                <w:iCs/>
                <w:highlight w:val="lightGray"/>
              </w:rPr>
              <w:t>&lt;List the key tasks/responsibilities and milestones for staff, including:</w:t>
            </w:r>
          </w:p>
          <w:p w14:paraId="3AB94751"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lead Year 11-12 or subject-specific teacher/s</w:t>
            </w:r>
          </w:p>
          <w:p w14:paraId="70F1CDE2"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TASC Liaison Officer</w:t>
            </w:r>
          </w:p>
          <w:p w14:paraId="077440AE"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Assistant Principal/s</w:t>
            </w:r>
          </w:p>
          <w:p w14:paraId="11E20424" w14:textId="77777777" w:rsidR="00751790" w:rsidRPr="00B77C7E" w:rsidRDefault="00751790" w:rsidP="00751790">
            <w:pPr>
              <w:pStyle w:val="ListParagraph"/>
              <w:numPr>
                <w:ilvl w:val="0"/>
                <w:numId w:val="10"/>
              </w:numPr>
              <w:spacing w:before="0" w:after="0"/>
              <w:rPr>
                <w:i/>
                <w:iCs/>
                <w:highlight w:val="lightGray"/>
              </w:rPr>
            </w:pPr>
            <w:r w:rsidRPr="00B77C7E">
              <w:rPr>
                <w:i/>
                <w:iCs/>
                <w:highlight w:val="lightGray"/>
              </w:rPr>
              <w:t>Principal.&gt;</w:t>
            </w:r>
          </w:p>
        </w:tc>
      </w:tr>
    </w:tbl>
    <w:p w14:paraId="65B05C4F" w14:textId="77777777" w:rsidR="00F60096" w:rsidRDefault="00F60096" w:rsidP="00751790">
      <w:pPr>
        <w:rPr>
          <w:rFonts w:cs="GillSans-SemiBold"/>
          <w:color w:val="00858A"/>
          <w:sz w:val="32"/>
          <w:szCs w:val="44"/>
        </w:rPr>
      </w:pPr>
    </w:p>
    <w:p w14:paraId="2A98632E" w14:textId="77777777" w:rsidR="006C03F7" w:rsidRDefault="00751790" w:rsidP="006C03F7">
      <w:pPr>
        <w:rPr>
          <w:rFonts w:cs="GillSans-SemiBold"/>
          <w:color w:val="00858A"/>
          <w:sz w:val="32"/>
          <w:szCs w:val="44"/>
        </w:rPr>
      </w:pPr>
      <w:r w:rsidRPr="00751790">
        <w:rPr>
          <w:rFonts w:cs="GillSans-SemiBold"/>
          <w:color w:val="00858A"/>
          <w:sz w:val="32"/>
          <w:szCs w:val="44"/>
        </w:rPr>
        <w:t>Want more information?</w:t>
      </w:r>
    </w:p>
    <w:p w14:paraId="59C39A09" w14:textId="77777777" w:rsidR="006C03F7" w:rsidRPr="006C03F7" w:rsidRDefault="00751790" w:rsidP="006C03F7">
      <w:pPr>
        <w:pStyle w:val="ListParagraph"/>
        <w:numPr>
          <w:ilvl w:val="0"/>
          <w:numId w:val="34"/>
        </w:numPr>
        <w:rPr>
          <w:rStyle w:val="Hyperlink"/>
          <w:rFonts w:cs="GillSans-SemiBold"/>
          <w:sz w:val="32"/>
          <w:szCs w:val="44"/>
          <w:u w:val="none"/>
        </w:rPr>
      </w:pPr>
      <w:r w:rsidRPr="006C03F7">
        <w:rPr>
          <w:rFonts w:cs="Times New Roman (Body CS)"/>
          <w:szCs w:val="24"/>
        </w:rPr>
        <w:t xml:space="preserve">See </w:t>
      </w:r>
      <w:hyperlink r:id="rId21" w:history="1">
        <w:r w:rsidRPr="006C03F7">
          <w:rPr>
            <w:rStyle w:val="Hyperlink"/>
            <w:rFonts w:cs="Times New Roman (Body CS)"/>
            <w:szCs w:val="24"/>
          </w:rPr>
          <w:t>Quality Assurance</w:t>
        </w:r>
      </w:hyperlink>
      <w:r w:rsidRPr="006C03F7">
        <w:rPr>
          <w:rFonts w:cs="Times New Roman (Body CS)"/>
          <w:szCs w:val="24"/>
        </w:rPr>
        <w:t xml:space="preserve"> on the TASC website at </w:t>
      </w:r>
      <w:hyperlink r:id="rId22" w:history="1">
        <w:r w:rsidRPr="006C03F7">
          <w:rPr>
            <w:rStyle w:val="Hyperlink"/>
            <w:rFonts w:cs="Times New Roman (Body CS)"/>
            <w:szCs w:val="24"/>
          </w:rPr>
          <w:t>www.tasc.tas.gov.au</w:t>
        </w:r>
      </w:hyperlink>
    </w:p>
    <w:p w14:paraId="6C3CF1A2" w14:textId="77777777" w:rsidR="006C03F7" w:rsidRPr="006C03F7" w:rsidRDefault="00F255EB" w:rsidP="006C03F7">
      <w:pPr>
        <w:pStyle w:val="ListParagraph"/>
        <w:numPr>
          <w:ilvl w:val="0"/>
          <w:numId w:val="34"/>
        </w:numPr>
        <w:rPr>
          <w:rStyle w:val="Hyperlink"/>
          <w:rFonts w:cs="GillSans-SemiBold"/>
          <w:sz w:val="32"/>
          <w:szCs w:val="44"/>
          <w:u w:val="none"/>
        </w:rPr>
      </w:pPr>
      <w:r w:rsidRPr="006C03F7">
        <w:rPr>
          <w:rStyle w:val="Hyperlink"/>
          <w:rFonts w:cs="Times New Roman (Body CS)"/>
          <w:color w:val="auto"/>
          <w:szCs w:val="24"/>
          <w:u w:val="none"/>
        </w:rPr>
        <w:t xml:space="preserve">See </w:t>
      </w:r>
      <w:hyperlink r:id="rId23" w:history="1">
        <w:r w:rsidRPr="006C03F7">
          <w:rPr>
            <w:rStyle w:val="Hyperlink"/>
            <w:rFonts w:cs="Times New Roman (Body CS)"/>
            <w:szCs w:val="24"/>
          </w:rPr>
          <w:t>Standards for providers</w:t>
        </w:r>
      </w:hyperlink>
      <w:r w:rsidRPr="006C03F7">
        <w:rPr>
          <w:rStyle w:val="Hyperlink"/>
          <w:rFonts w:cs="Times New Roman (Body CS)"/>
          <w:color w:val="auto"/>
          <w:szCs w:val="24"/>
          <w:u w:val="none"/>
        </w:rPr>
        <w:t xml:space="preserve"> on the TASC website </w:t>
      </w:r>
    </w:p>
    <w:p w14:paraId="06908321" w14:textId="0E72BE45" w:rsidR="00751790" w:rsidRPr="006C03F7" w:rsidRDefault="00751790" w:rsidP="006C03F7">
      <w:pPr>
        <w:pStyle w:val="ListParagraph"/>
        <w:numPr>
          <w:ilvl w:val="0"/>
          <w:numId w:val="34"/>
        </w:numPr>
        <w:rPr>
          <w:rFonts w:cs="GillSans-SemiBold"/>
          <w:color w:val="00858A"/>
          <w:sz w:val="32"/>
          <w:szCs w:val="44"/>
        </w:rPr>
      </w:pPr>
      <w:r w:rsidRPr="006C03F7">
        <w:rPr>
          <w:rFonts w:cs="Times New Roman (Body CS)"/>
          <w:szCs w:val="24"/>
        </w:rPr>
        <w:t xml:space="preserve">Contact TASC at </w:t>
      </w:r>
      <w:hyperlink r:id="rId24" w:history="1">
        <w:r w:rsidRPr="006C03F7">
          <w:rPr>
            <w:rStyle w:val="Hyperlink"/>
            <w:rFonts w:cs="Times New Roman (Body CS)"/>
            <w:szCs w:val="24"/>
          </w:rPr>
          <w:t>QualityAssurance@tasc.tas.gov.au</w:t>
        </w:r>
      </w:hyperlink>
      <w:r w:rsidRPr="006C03F7">
        <w:rPr>
          <w:rFonts w:cs="Times New Roman (Body CS)"/>
          <w:szCs w:val="24"/>
        </w:rPr>
        <w:t xml:space="preserve"> at or phone 6165 6000.</w:t>
      </w:r>
    </w:p>
    <w:p w14:paraId="18179E67" w14:textId="77777777" w:rsidR="00F255EB" w:rsidRPr="00F255EB" w:rsidRDefault="00F255EB" w:rsidP="00F255EB">
      <w:pPr>
        <w:spacing w:before="0" w:after="160"/>
        <w:ind w:left="360"/>
        <w:rPr>
          <w:rFonts w:cs="Times New Roman (Body CS)"/>
          <w:szCs w:val="24"/>
        </w:rPr>
      </w:pPr>
    </w:p>
    <w:p w14:paraId="41B12862" w14:textId="77777777" w:rsidR="00E30860" w:rsidRDefault="00E30860" w:rsidP="00E30860"/>
    <w:bookmarkEnd w:id="0"/>
    <w:bookmarkEnd w:id="1"/>
    <w:p w14:paraId="02A52AD6" w14:textId="77777777" w:rsidR="00AE315E" w:rsidRPr="006E3B24" w:rsidRDefault="00AE315E" w:rsidP="006E3B24"/>
    <w:sectPr w:rsidR="00AE315E" w:rsidRPr="006E3B24" w:rsidSect="00751790">
      <w:headerReference w:type="even" r:id="rId25"/>
      <w:headerReference w:type="default" r:id="rId26"/>
      <w:footerReference w:type="even" r:id="rId27"/>
      <w:footerReference w:type="default" r:id="rId28"/>
      <w:headerReference w:type="first" r:id="rId29"/>
      <w:footerReference w:type="first" r:id="rId30"/>
      <w:pgSz w:w="23811" w:h="16838" w:orient="landscape" w:code="8"/>
      <w:pgMar w:top="144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01326" w14:textId="77777777" w:rsidR="00B17DFA" w:rsidRDefault="00B17DFA" w:rsidP="00BF0865">
      <w:r>
        <w:separator/>
      </w:r>
    </w:p>
  </w:endnote>
  <w:endnote w:type="continuationSeparator" w:id="0">
    <w:p w14:paraId="7790B270" w14:textId="77777777" w:rsidR="00B17DFA" w:rsidRDefault="00B17DFA" w:rsidP="00BF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ill Sans MT Std Light">
    <w:altName w:val="GillSans Light"/>
    <w:panose1 w:val="020B0302020104020203"/>
    <w:charset w:val="00"/>
    <w:family w:val="swiss"/>
    <w:notTrueType/>
    <w:pitch w:val="variable"/>
    <w:sig w:usb0="00000003" w:usb1="00000000" w:usb2="00000000" w:usb3="00000000" w:csb0="00000001" w:csb1="00000000"/>
  </w:font>
  <w:font w:name="GillSans-SemiBold">
    <w:altName w:val="Times New Roman"/>
    <w:charset w:val="00"/>
    <w:family w:val="auto"/>
    <w:pitch w:val="variable"/>
    <w:sig w:usb0="8000026F" w:usb1="5000004A" w:usb2="00000000" w:usb3="00000000" w:csb0="00000005" w:csb1="00000000"/>
  </w:font>
  <w:font w:name="Segoe UI">
    <w:panose1 w:val="020B0502040204020203"/>
    <w:charset w:val="00"/>
    <w:family w:val="swiss"/>
    <w:pitch w:val="variable"/>
    <w:sig w:usb0="E4002EFF" w:usb1="C000E47F" w:usb2="00000009" w:usb3="00000000" w:csb0="000001FF" w:csb1="00000000"/>
  </w:font>
  <w:font w:name="Gill Sans">
    <w:altName w:val="Gill Sans MT"/>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9799" w14:textId="77777777" w:rsidR="00F07777" w:rsidRDefault="00F0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603A" w14:textId="4D9EAF04" w:rsidR="000D1B3C" w:rsidRPr="00C55EDF" w:rsidRDefault="00F666A9" w:rsidP="002D4765">
    <w:pPr>
      <w:pStyle w:val="Footer"/>
    </w:pPr>
    <w:sdt>
      <w:sdtPr>
        <w:alias w:val="Title"/>
        <w:tag w:val=""/>
        <w:id w:val="1402021941"/>
        <w:dataBinding w:prefixMappings="xmlns:ns0='http://purl.org/dc/elements/1.1/' xmlns:ns1='http://schemas.openxmlformats.org/package/2006/metadata/core-properties' " w:xpath="/ns1:coreProperties[1]/ns0:title[1]" w:storeItemID="{6C3C8BC8-F283-45AE-878A-BAB7291924A1}"/>
        <w:text/>
      </w:sdtPr>
      <w:sdtEndPr/>
      <w:sdtContent>
        <w:r w:rsidR="00751790" w:rsidRPr="00875B43">
          <w:t>TASC Registration Checklist</w:t>
        </w:r>
      </w:sdtContent>
    </w:sdt>
  </w:p>
  <w:p w14:paraId="0840849D" w14:textId="6C9B1AF5" w:rsidR="00A362A5" w:rsidRPr="00F95E84" w:rsidRDefault="000D1B3C" w:rsidP="00BD1246">
    <w:pPr>
      <w:pStyle w:val="Footer"/>
      <w:tabs>
        <w:tab w:val="clear" w:pos="4513"/>
        <w:tab w:val="clear" w:pos="9026"/>
        <w:tab w:val="left" w:pos="6034"/>
      </w:tabs>
    </w:pPr>
    <w:r w:rsidRPr="005B08A7">
      <w:t xml:space="preserve">Page </w:t>
    </w:r>
    <w:r w:rsidRPr="005B08A7">
      <w:fldChar w:fldCharType="begin"/>
    </w:r>
    <w:r w:rsidRPr="005B08A7">
      <w:instrText xml:space="preserve"> PAGE </w:instrText>
    </w:r>
    <w:r w:rsidRPr="005B08A7">
      <w:fldChar w:fldCharType="separate"/>
    </w:r>
    <w:r>
      <w:t>3</w:t>
    </w:r>
    <w:r w:rsidRPr="005B08A7">
      <w:fldChar w:fldCharType="end"/>
    </w:r>
    <w:r w:rsidRPr="005B08A7">
      <w:t xml:space="preserve"> of </w:t>
    </w:r>
    <w:fldSimple w:instr=" NUMPAGES ">
      <w:r>
        <w:t>3</w:t>
      </w:r>
    </w:fldSimple>
    <w:r w:rsidR="00BD1246">
      <w:tab/>
    </w:r>
    <w:r w:rsidR="003628ED">
      <w:br/>
    </w:r>
    <w:bookmarkStart w:id="3" w:name="_Hlk69466710"/>
    <w:r w:rsidR="002D4765">
      <w:t xml:space="preserve">Version 1.0 – </w:t>
    </w:r>
    <w:bookmarkEnd w:id="3"/>
    <w:r w:rsidR="006619BA">
      <w:rPr>
        <w:noProof/>
      </w:rPr>
      <w:drawing>
        <wp:anchor distT="0" distB="0" distL="114300" distR="114300" simplePos="0" relativeHeight="251657728" behindDoc="1" locked="1" layoutInCell="1" allowOverlap="0" wp14:anchorId="3246FD74" wp14:editId="68762B1F">
          <wp:simplePos x="0" y="0"/>
          <wp:positionH relativeFrom="page">
            <wp:align>right</wp:align>
          </wp:positionH>
          <wp:positionV relativeFrom="page">
            <wp:align>bottom</wp:align>
          </wp:positionV>
          <wp:extent cx="7560000" cy="1137600"/>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3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863">
      <w:t>14 May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FE58F" w14:textId="5E0ACC6D" w:rsidR="00D8445E" w:rsidRDefault="00751790" w:rsidP="002D4765">
    <w:pPr>
      <w:pStyle w:val="Footer"/>
    </w:pPr>
    <w:r>
      <w:t xml:space="preserve">TASC Registration Checklist </w:t>
    </w:r>
  </w:p>
  <w:p w14:paraId="23E68F7E" w14:textId="63B7FBE7" w:rsidR="00AE315E" w:rsidRDefault="00AE315E" w:rsidP="002D4765">
    <w:pPr>
      <w:pStyle w:val="Footer"/>
    </w:pPr>
    <w:r w:rsidRPr="002D4765">
      <w:t xml:space="preserve">Page </w:t>
    </w:r>
    <w:r w:rsidRPr="002D4765">
      <w:fldChar w:fldCharType="begin"/>
    </w:r>
    <w:r w:rsidRPr="002D4765">
      <w:instrText xml:space="preserve"> PAGE </w:instrText>
    </w:r>
    <w:r w:rsidRPr="002D4765">
      <w:fldChar w:fldCharType="separate"/>
    </w:r>
    <w:r w:rsidRPr="002D4765">
      <w:t>2</w:t>
    </w:r>
    <w:r w:rsidRPr="002D4765">
      <w:fldChar w:fldCharType="end"/>
    </w:r>
    <w:r w:rsidRPr="002D4765">
      <w:t xml:space="preserve"> of </w:t>
    </w:r>
    <w:fldSimple w:instr=" NUMPAGES ">
      <w:r w:rsidRPr="002D4765">
        <w:t>4</w:t>
      </w:r>
    </w:fldSimple>
    <w:r w:rsidRPr="002D4765">
      <w:br/>
      <w:t xml:space="preserve">Version 1.0 – </w:t>
    </w:r>
    <w:r w:rsidR="006619BA">
      <w:rPr>
        <w:noProof/>
      </w:rPr>
      <w:drawing>
        <wp:anchor distT="0" distB="0" distL="114300" distR="114300" simplePos="0" relativeHeight="251656704" behindDoc="1" locked="1" layoutInCell="1" allowOverlap="0" wp14:anchorId="7AB2BD20" wp14:editId="360E78E0">
          <wp:simplePos x="0" y="0"/>
          <wp:positionH relativeFrom="page">
            <wp:align>right</wp:align>
          </wp:positionH>
          <wp:positionV relativeFrom="page">
            <wp:align>bottom</wp:align>
          </wp:positionV>
          <wp:extent cx="7560000" cy="1137600"/>
          <wp:effectExtent l="0" t="0" r="317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3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790">
      <w:t>14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C9BB6" w14:textId="77777777" w:rsidR="00B17DFA" w:rsidRDefault="00B17DFA" w:rsidP="00BF0865">
      <w:r>
        <w:separator/>
      </w:r>
    </w:p>
  </w:footnote>
  <w:footnote w:type="continuationSeparator" w:id="0">
    <w:p w14:paraId="6CB17060" w14:textId="77777777" w:rsidR="00B17DFA" w:rsidRDefault="00B17DFA" w:rsidP="00BF0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EBF7" w14:textId="77777777" w:rsidR="00F07777" w:rsidRDefault="00F0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D642" w14:textId="77777777" w:rsidR="00AC7350" w:rsidRDefault="008E1865" w:rsidP="005C1775">
    <w:pPr>
      <w:tabs>
        <w:tab w:val="left" w:pos="2761"/>
        <w:tab w:val="left" w:pos="9228"/>
      </w:tabs>
    </w:pPr>
    <w:r>
      <w:rPr>
        <w:noProof/>
      </w:rPr>
      <w:drawing>
        <wp:anchor distT="0" distB="0" distL="114300" distR="114300" simplePos="0" relativeHeight="251655680" behindDoc="1" locked="0" layoutInCell="1" allowOverlap="1" wp14:anchorId="05DC54FD" wp14:editId="70B51A6A">
          <wp:simplePos x="0" y="0"/>
          <wp:positionH relativeFrom="page">
            <wp:posOffset>-505748</wp:posOffset>
          </wp:positionH>
          <wp:positionV relativeFrom="paragraph">
            <wp:posOffset>-4418107</wp:posOffset>
          </wp:positionV>
          <wp:extent cx="10776585" cy="1237615"/>
          <wp:effectExtent l="0" t="0" r="571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jpg"/>
                  <pic:cNvPicPr/>
                </pic:nvPicPr>
                <pic:blipFill rotWithShape="1">
                  <a:blip r:embed="rId1"/>
                  <a:srcRect t="83762"/>
                  <a:stretch/>
                </pic:blipFill>
                <pic:spPr bwMode="auto">
                  <a:xfrm>
                    <a:off x="0" y="0"/>
                    <a:ext cx="10776585" cy="1237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656" behindDoc="1" locked="0" layoutInCell="1" allowOverlap="1" wp14:anchorId="6EC350A9" wp14:editId="55FA62D9">
          <wp:simplePos x="0" y="0"/>
          <wp:positionH relativeFrom="page">
            <wp:posOffset>-2324767</wp:posOffset>
          </wp:positionH>
          <wp:positionV relativeFrom="paragraph">
            <wp:posOffset>-3848768</wp:posOffset>
          </wp:positionV>
          <wp:extent cx="10776585" cy="1237615"/>
          <wp:effectExtent l="0" t="0" r="571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jpg"/>
                  <pic:cNvPicPr/>
                </pic:nvPicPr>
                <pic:blipFill rotWithShape="1">
                  <a:blip r:embed="rId1"/>
                  <a:srcRect t="83762"/>
                  <a:stretch/>
                </pic:blipFill>
                <pic:spPr bwMode="auto">
                  <a:xfrm>
                    <a:off x="0" y="0"/>
                    <a:ext cx="10776585" cy="1237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005C1775">
      <w:rPr>
        <w:noProof/>
      </w:rPr>
      <w:drawing>
        <wp:anchor distT="0" distB="0" distL="114300" distR="114300" simplePos="0" relativeHeight="251659776" behindDoc="1" locked="1" layoutInCell="1" allowOverlap="0" wp14:anchorId="01AEF7A0" wp14:editId="305E71F8">
          <wp:simplePos x="0" y="0"/>
          <wp:positionH relativeFrom="page">
            <wp:align>right</wp:align>
          </wp:positionH>
          <wp:positionV relativeFrom="page">
            <wp:align>top</wp:align>
          </wp:positionV>
          <wp:extent cx="7542000" cy="795600"/>
          <wp:effectExtent l="0" t="0" r="1905"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2000" cy="7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77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634F" w14:textId="13E2CA22" w:rsidR="002378A6" w:rsidRDefault="00A173E7">
    <w:pPr>
      <w:pStyle w:val="Header"/>
    </w:pPr>
    <w:r>
      <w:rPr>
        <w:noProof/>
      </w:rPr>
      <w:drawing>
        <wp:anchor distT="0" distB="0" distL="114300" distR="114300" simplePos="0" relativeHeight="251658752" behindDoc="1" locked="1" layoutInCell="1" allowOverlap="0" wp14:anchorId="18613841" wp14:editId="64B7CFFB">
          <wp:simplePos x="0" y="0"/>
          <wp:positionH relativeFrom="page">
            <wp:posOffset>635</wp:posOffset>
          </wp:positionH>
          <wp:positionV relativeFrom="page">
            <wp:posOffset>-7620</wp:posOffset>
          </wp:positionV>
          <wp:extent cx="7559675" cy="1007745"/>
          <wp:effectExtent l="0" t="0" r="317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07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038"/>
    <w:multiLevelType w:val="multilevel"/>
    <w:tmpl w:val="D74055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C02F6"/>
    <w:multiLevelType w:val="multilevel"/>
    <w:tmpl w:val="94CE45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E35D10"/>
    <w:multiLevelType w:val="hybridMultilevel"/>
    <w:tmpl w:val="0AFCE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980046"/>
    <w:multiLevelType w:val="hybridMultilevel"/>
    <w:tmpl w:val="51D028F0"/>
    <w:lvl w:ilvl="0" w:tplc="E924B14C">
      <w:start w:val="1"/>
      <w:numFmt w:val="decimal"/>
      <w:lvlText w:val="1.%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20388A"/>
    <w:multiLevelType w:val="hybridMultilevel"/>
    <w:tmpl w:val="9796C326"/>
    <w:lvl w:ilvl="0" w:tplc="F990CE88">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732387"/>
    <w:multiLevelType w:val="hybridMultilevel"/>
    <w:tmpl w:val="15BE9AD4"/>
    <w:lvl w:ilvl="0" w:tplc="0BDC30F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26B68"/>
    <w:multiLevelType w:val="hybridMultilevel"/>
    <w:tmpl w:val="D0B691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1E6C05"/>
    <w:multiLevelType w:val="multilevel"/>
    <w:tmpl w:val="76088ED2"/>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D8C3150"/>
    <w:multiLevelType w:val="hybridMultilevel"/>
    <w:tmpl w:val="EF983884"/>
    <w:lvl w:ilvl="0" w:tplc="F990CE88">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32346"/>
    <w:multiLevelType w:val="hybridMultilevel"/>
    <w:tmpl w:val="ED5A4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1519FF"/>
    <w:multiLevelType w:val="multilevel"/>
    <w:tmpl w:val="0772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571662"/>
    <w:multiLevelType w:val="multilevel"/>
    <w:tmpl w:val="A69E8E2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D65909"/>
    <w:multiLevelType w:val="hybridMultilevel"/>
    <w:tmpl w:val="F858D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7A2BC3"/>
    <w:multiLevelType w:val="hybridMultilevel"/>
    <w:tmpl w:val="2884CC16"/>
    <w:lvl w:ilvl="0" w:tplc="0BDC30F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12D8F"/>
    <w:multiLevelType w:val="hybridMultilevel"/>
    <w:tmpl w:val="EC8AF854"/>
    <w:lvl w:ilvl="0" w:tplc="0BDC30F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F26C39"/>
    <w:multiLevelType w:val="hybridMultilevel"/>
    <w:tmpl w:val="830C0584"/>
    <w:lvl w:ilvl="0" w:tplc="1416E1E6">
      <w:start w:val="1"/>
      <w:numFmt w:val="decimal"/>
      <w:pStyle w:val="Numberedlist"/>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6" w15:restartNumberingAfterBreak="0">
    <w:nsid w:val="352758C8"/>
    <w:multiLevelType w:val="hybridMultilevel"/>
    <w:tmpl w:val="694CE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8173B8"/>
    <w:multiLevelType w:val="hybridMultilevel"/>
    <w:tmpl w:val="57EED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1212CC"/>
    <w:multiLevelType w:val="hybridMultilevel"/>
    <w:tmpl w:val="05B2D1DE"/>
    <w:lvl w:ilvl="0" w:tplc="8A16D69E">
      <w:start w:val="1"/>
      <w:numFmt w:val="lowerLetter"/>
      <w:pStyle w:val="Numberedlist-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29102E8"/>
    <w:multiLevelType w:val="hybridMultilevel"/>
    <w:tmpl w:val="39C00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9D4EF5"/>
    <w:multiLevelType w:val="hybridMultilevel"/>
    <w:tmpl w:val="9A682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A3E7415"/>
    <w:multiLevelType w:val="hybridMultilevel"/>
    <w:tmpl w:val="4D925EE8"/>
    <w:lvl w:ilvl="0" w:tplc="D0FE31BA">
      <w:start w:val="1"/>
      <w:numFmt w:val="bullet"/>
      <w:pStyle w:val="Listparagraph-teal"/>
      <w:lvlText w:val=""/>
      <w:lvlJc w:val="left"/>
      <w:pPr>
        <w:ind w:left="284" w:hanging="284"/>
      </w:pPr>
      <w:rPr>
        <w:rFonts w:ascii="Symbol" w:hAnsi="Symbol" w:hint="default"/>
        <w:color w:val="007B7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7457CE"/>
    <w:multiLevelType w:val="multilevel"/>
    <w:tmpl w:val="9F260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547973"/>
    <w:multiLevelType w:val="hybridMultilevel"/>
    <w:tmpl w:val="E14EEDCC"/>
    <w:lvl w:ilvl="0" w:tplc="A9AEF31E">
      <w:start w:val="1"/>
      <w:numFmt w:val="bullet"/>
      <w:lvlText w:val=""/>
      <w:lvlJc w:val="left"/>
      <w:pPr>
        <w:ind w:left="720" w:hanging="360"/>
      </w:pPr>
      <w:rPr>
        <w:rFonts w:ascii="Symbol" w:hAnsi="Symbol" w:hint="default"/>
      </w:rPr>
    </w:lvl>
    <w:lvl w:ilvl="1" w:tplc="1994AAC8">
      <w:start w:val="1"/>
      <w:numFmt w:val="bullet"/>
      <w:pStyle w:val="Listparagraph-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5615A2"/>
    <w:multiLevelType w:val="multilevel"/>
    <w:tmpl w:val="2FE274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727CC"/>
    <w:multiLevelType w:val="hybridMultilevel"/>
    <w:tmpl w:val="8CEA78E0"/>
    <w:lvl w:ilvl="0" w:tplc="931E8D1E">
      <w:start w:val="1"/>
      <w:numFmt w:val="bullet"/>
      <w:pStyle w:val="Tablelis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6" w15:restartNumberingAfterBreak="0">
    <w:nsid w:val="61996698"/>
    <w:multiLevelType w:val="hybridMultilevel"/>
    <w:tmpl w:val="9F3E794A"/>
    <w:lvl w:ilvl="0" w:tplc="5300BC5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B3C28"/>
    <w:multiLevelType w:val="hybridMultilevel"/>
    <w:tmpl w:val="36282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641E9A"/>
    <w:multiLevelType w:val="hybridMultilevel"/>
    <w:tmpl w:val="6BDC48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D7641A"/>
    <w:multiLevelType w:val="hybridMultilevel"/>
    <w:tmpl w:val="038A0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2E0C9C"/>
    <w:multiLevelType w:val="hybridMultilevel"/>
    <w:tmpl w:val="1452067C"/>
    <w:lvl w:ilvl="0" w:tplc="2FCAB4C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22532"/>
    <w:multiLevelType w:val="hybridMultilevel"/>
    <w:tmpl w:val="F7E22DFA"/>
    <w:lvl w:ilvl="0" w:tplc="3028CA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625F2"/>
    <w:multiLevelType w:val="multilevel"/>
    <w:tmpl w:val="CF4064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DB4765"/>
    <w:multiLevelType w:val="hybridMultilevel"/>
    <w:tmpl w:val="6F2C4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7775D3"/>
    <w:multiLevelType w:val="hybridMultilevel"/>
    <w:tmpl w:val="F6C2F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C215231"/>
    <w:multiLevelType w:val="hybridMultilevel"/>
    <w:tmpl w:val="1ECA6DD8"/>
    <w:lvl w:ilvl="0" w:tplc="5300BC5A">
      <w:start w:val="1"/>
      <w:numFmt w:val="bullet"/>
      <w:lvlText w:val="£"/>
      <w:lvlJc w:val="left"/>
      <w:pPr>
        <w:ind w:left="720" w:hanging="360"/>
      </w:pPr>
      <w:rPr>
        <w:rFonts w:ascii="Wingdings 2" w:hAnsi="Wingdings 2"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44665"/>
    <w:multiLevelType w:val="multilevel"/>
    <w:tmpl w:val="BBA8970C"/>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1"/>
  </w:num>
  <w:num w:numId="3">
    <w:abstractNumId w:val="23"/>
  </w:num>
  <w:num w:numId="4">
    <w:abstractNumId w:val="21"/>
  </w:num>
  <w:num w:numId="5">
    <w:abstractNumId w:val="15"/>
  </w:num>
  <w:num w:numId="6">
    <w:abstractNumId w:val="18"/>
  </w:num>
  <w:num w:numId="7">
    <w:abstractNumId w:val="19"/>
  </w:num>
  <w:num w:numId="8">
    <w:abstractNumId w:val="35"/>
  </w:num>
  <w:num w:numId="9">
    <w:abstractNumId w:val="26"/>
  </w:num>
  <w:num w:numId="10">
    <w:abstractNumId w:val="2"/>
  </w:num>
  <w:num w:numId="11">
    <w:abstractNumId w:val="3"/>
  </w:num>
  <w:num w:numId="12">
    <w:abstractNumId w:val="6"/>
  </w:num>
  <w:num w:numId="13">
    <w:abstractNumId w:val="28"/>
  </w:num>
  <w:num w:numId="14">
    <w:abstractNumId w:val="34"/>
  </w:num>
  <w:num w:numId="15">
    <w:abstractNumId w:val="9"/>
  </w:num>
  <w:num w:numId="16">
    <w:abstractNumId w:val="33"/>
  </w:num>
  <w:num w:numId="17">
    <w:abstractNumId w:val="12"/>
  </w:num>
  <w:num w:numId="18">
    <w:abstractNumId w:val="29"/>
  </w:num>
  <w:num w:numId="19">
    <w:abstractNumId w:val="20"/>
  </w:num>
  <w:num w:numId="20">
    <w:abstractNumId w:val="17"/>
  </w:num>
  <w:num w:numId="21">
    <w:abstractNumId w:val="27"/>
  </w:num>
  <w:num w:numId="22">
    <w:abstractNumId w:val="16"/>
  </w:num>
  <w:num w:numId="23">
    <w:abstractNumId w:val="10"/>
  </w:num>
  <w:num w:numId="24">
    <w:abstractNumId w:val="1"/>
  </w:num>
  <w:num w:numId="25">
    <w:abstractNumId w:val="11"/>
  </w:num>
  <w:num w:numId="26">
    <w:abstractNumId w:val="32"/>
  </w:num>
  <w:num w:numId="27">
    <w:abstractNumId w:val="7"/>
  </w:num>
  <w:num w:numId="28">
    <w:abstractNumId w:val="24"/>
  </w:num>
  <w:num w:numId="29">
    <w:abstractNumId w:val="22"/>
  </w:num>
  <w:num w:numId="30">
    <w:abstractNumId w:val="0"/>
  </w:num>
  <w:num w:numId="31">
    <w:abstractNumId w:val="36"/>
  </w:num>
  <w:num w:numId="32">
    <w:abstractNumId w:val="5"/>
  </w:num>
  <w:num w:numId="33">
    <w:abstractNumId w:val="13"/>
  </w:num>
  <w:num w:numId="34">
    <w:abstractNumId w:val="14"/>
  </w:num>
  <w:num w:numId="35">
    <w:abstractNumId w:val="4"/>
  </w:num>
  <w:num w:numId="36">
    <w:abstractNumId w:val="31"/>
  </w:num>
  <w:num w:numId="37">
    <w:abstractNumId w:val="31"/>
  </w:num>
  <w:num w:numId="38">
    <w:abstractNumId w:val="30"/>
  </w:num>
  <w:num w:numId="39">
    <w:abstractNumId w:val="31"/>
  </w:num>
  <w:num w:numId="40">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FA"/>
    <w:rsid w:val="000023FB"/>
    <w:rsid w:val="00005B16"/>
    <w:rsid w:val="00014964"/>
    <w:rsid w:val="00021B42"/>
    <w:rsid w:val="00032D47"/>
    <w:rsid w:val="0009069F"/>
    <w:rsid w:val="0009672C"/>
    <w:rsid w:val="000A67D6"/>
    <w:rsid w:val="000D04FC"/>
    <w:rsid w:val="000D1B3C"/>
    <w:rsid w:val="000D3D10"/>
    <w:rsid w:val="000E213C"/>
    <w:rsid w:val="000E3D4A"/>
    <w:rsid w:val="0010056C"/>
    <w:rsid w:val="0010702C"/>
    <w:rsid w:val="00140A73"/>
    <w:rsid w:val="00162B6B"/>
    <w:rsid w:val="001E16CC"/>
    <w:rsid w:val="001F2EC0"/>
    <w:rsid w:val="0021595F"/>
    <w:rsid w:val="002378A6"/>
    <w:rsid w:val="00262882"/>
    <w:rsid w:val="002A0681"/>
    <w:rsid w:val="002A36D5"/>
    <w:rsid w:val="002A507E"/>
    <w:rsid w:val="002D4765"/>
    <w:rsid w:val="003019DF"/>
    <w:rsid w:val="00303B91"/>
    <w:rsid w:val="003203E8"/>
    <w:rsid w:val="00320863"/>
    <w:rsid w:val="00343DF1"/>
    <w:rsid w:val="003454F4"/>
    <w:rsid w:val="00354336"/>
    <w:rsid w:val="003628ED"/>
    <w:rsid w:val="0037252A"/>
    <w:rsid w:val="00386666"/>
    <w:rsid w:val="00394AC2"/>
    <w:rsid w:val="003A71AA"/>
    <w:rsid w:val="003C2A4D"/>
    <w:rsid w:val="003F05F1"/>
    <w:rsid w:val="00405E34"/>
    <w:rsid w:val="0042092C"/>
    <w:rsid w:val="004548D3"/>
    <w:rsid w:val="004624F6"/>
    <w:rsid w:val="00466A41"/>
    <w:rsid w:val="004759AC"/>
    <w:rsid w:val="00482B54"/>
    <w:rsid w:val="00496377"/>
    <w:rsid w:val="004974F9"/>
    <w:rsid w:val="004A09CF"/>
    <w:rsid w:val="004E6072"/>
    <w:rsid w:val="004F3E68"/>
    <w:rsid w:val="00502C09"/>
    <w:rsid w:val="00526C11"/>
    <w:rsid w:val="0052733D"/>
    <w:rsid w:val="00534A2C"/>
    <w:rsid w:val="0056039E"/>
    <w:rsid w:val="005A189C"/>
    <w:rsid w:val="005B08A7"/>
    <w:rsid w:val="005B25DE"/>
    <w:rsid w:val="005B400F"/>
    <w:rsid w:val="005B6E81"/>
    <w:rsid w:val="005C1775"/>
    <w:rsid w:val="005C2A9C"/>
    <w:rsid w:val="005D1610"/>
    <w:rsid w:val="005E300C"/>
    <w:rsid w:val="0062009D"/>
    <w:rsid w:val="00623ED5"/>
    <w:rsid w:val="00641E1F"/>
    <w:rsid w:val="00645601"/>
    <w:rsid w:val="006619BA"/>
    <w:rsid w:val="00673716"/>
    <w:rsid w:val="00684365"/>
    <w:rsid w:val="00693770"/>
    <w:rsid w:val="006A737D"/>
    <w:rsid w:val="006C03F7"/>
    <w:rsid w:val="006E3B24"/>
    <w:rsid w:val="006F043D"/>
    <w:rsid w:val="00702344"/>
    <w:rsid w:val="007122C2"/>
    <w:rsid w:val="007207FC"/>
    <w:rsid w:val="00722F4E"/>
    <w:rsid w:val="007303FC"/>
    <w:rsid w:val="00730FBA"/>
    <w:rsid w:val="00734418"/>
    <w:rsid w:val="0074203D"/>
    <w:rsid w:val="00751790"/>
    <w:rsid w:val="00781296"/>
    <w:rsid w:val="00782E4A"/>
    <w:rsid w:val="00792BF6"/>
    <w:rsid w:val="007A37EB"/>
    <w:rsid w:val="007A3F3A"/>
    <w:rsid w:val="007D2DC0"/>
    <w:rsid w:val="007F7B63"/>
    <w:rsid w:val="00800D86"/>
    <w:rsid w:val="00835FB6"/>
    <w:rsid w:val="008457A7"/>
    <w:rsid w:val="008655C3"/>
    <w:rsid w:val="008675A7"/>
    <w:rsid w:val="00882C39"/>
    <w:rsid w:val="00885AF3"/>
    <w:rsid w:val="00891865"/>
    <w:rsid w:val="00891EC1"/>
    <w:rsid w:val="008B5D93"/>
    <w:rsid w:val="008D00CA"/>
    <w:rsid w:val="008D7AD4"/>
    <w:rsid w:val="008E1865"/>
    <w:rsid w:val="008F35FB"/>
    <w:rsid w:val="00924534"/>
    <w:rsid w:val="00925353"/>
    <w:rsid w:val="00950535"/>
    <w:rsid w:val="009554C9"/>
    <w:rsid w:val="00955EFA"/>
    <w:rsid w:val="0097025F"/>
    <w:rsid w:val="0097615B"/>
    <w:rsid w:val="00A173E7"/>
    <w:rsid w:val="00A20BD4"/>
    <w:rsid w:val="00A311F2"/>
    <w:rsid w:val="00A362A5"/>
    <w:rsid w:val="00A40307"/>
    <w:rsid w:val="00A450BB"/>
    <w:rsid w:val="00A637B4"/>
    <w:rsid w:val="00A72C2D"/>
    <w:rsid w:val="00AA5E9B"/>
    <w:rsid w:val="00AB2814"/>
    <w:rsid w:val="00AB299C"/>
    <w:rsid w:val="00AC7350"/>
    <w:rsid w:val="00AE315E"/>
    <w:rsid w:val="00AF1306"/>
    <w:rsid w:val="00AF4C09"/>
    <w:rsid w:val="00B01839"/>
    <w:rsid w:val="00B17DFA"/>
    <w:rsid w:val="00B25AEB"/>
    <w:rsid w:val="00B40DD0"/>
    <w:rsid w:val="00B82441"/>
    <w:rsid w:val="00B9380E"/>
    <w:rsid w:val="00BC1B7F"/>
    <w:rsid w:val="00BC1D3F"/>
    <w:rsid w:val="00BD1246"/>
    <w:rsid w:val="00BD2A0F"/>
    <w:rsid w:val="00BF0865"/>
    <w:rsid w:val="00C078C7"/>
    <w:rsid w:val="00C4183C"/>
    <w:rsid w:val="00C41B65"/>
    <w:rsid w:val="00C73D65"/>
    <w:rsid w:val="00C96064"/>
    <w:rsid w:val="00CC483B"/>
    <w:rsid w:val="00CC49F9"/>
    <w:rsid w:val="00CD0B7C"/>
    <w:rsid w:val="00CD15EE"/>
    <w:rsid w:val="00CD2134"/>
    <w:rsid w:val="00CD6687"/>
    <w:rsid w:val="00CE0909"/>
    <w:rsid w:val="00CF3A15"/>
    <w:rsid w:val="00D13C31"/>
    <w:rsid w:val="00D522C6"/>
    <w:rsid w:val="00D55179"/>
    <w:rsid w:val="00D67E59"/>
    <w:rsid w:val="00D8120C"/>
    <w:rsid w:val="00D8445E"/>
    <w:rsid w:val="00D95352"/>
    <w:rsid w:val="00DA7F74"/>
    <w:rsid w:val="00DB541F"/>
    <w:rsid w:val="00DC70F0"/>
    <w:rsid w:val="00DE0B13"/>
    <w:rsid w:val="00DE3BDE"/>
    <w:rsid w:val="00E10411"/>
    <w:rsid w:val="00E30860"/>
    <w:rsid w:val="00E425BA"/>
    <w:rsid w:val="00E62E8C"/>
    <w:rsid w:val="00E64D24"/>
    <w:rsid w:val="00E764DB"/>
    <w:rsid w:val="00EA7A73"/>
    <w:rsid w:val="00ED74A5"/>
    <w:rsid w:val="00EE182B"/>
    <w:rsid w:val="00EE317C"/>
    <w:rsid w:val="00EE3AC2"/>
    <w:rsid w:val="00EE6B40"/>
    <w:rsid w:val="00EF5E85"/>
    <w:rsid w:val="00F07777"/>
    <w:rsid w:val="00F10D2E"/>
    <w:rsid w:val="00F129C9"/>
    <w:rsid w:val="00F1588C"/>
    <w:rsid w:val="00F210AF"/>
    <w:rsid w:val="00F255EB"/>
    <w:rsid w:val="00F30098"/>
    <w:rsid w:val="00F423EE"/>
    <w:rsid w:val="00F60096"/>
    <w:rsid w:val="00F666A9"/>
    <w:rsid w:val="00F73DBC"/>
    <w:rsid w:val="00F75C8B"/>
    <w:rsid w:val="00F95BD6"/>
    <w:rsid w:val="00F95E84"/>
    <w:rsid w:val="00F96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78014C"/>
  <w15:chartTrackingRefBased/>
  <w15:docId w15:val="{0706C264-AAD9-49E7-83FA-CA59D546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60"/>
    <w:pPr>
      <w:spacing w:before="120" w:after="200"/>
    </w:pPr>
    <w:rPr>
      <w:rFonts w:ascii="Gill Sans MT Std Light" w:hAnsi="Gill Sans MT Std Light"/>
      <w:sz w:val="24"/>
    </w:rPr>
  </w:style>
  <w:style w:type="paragraph" w:styleId="Heading1">
    <w:name w:val="heading 1"/>
    <w:basedOn w:val="Normal"/>
    <w:next w:val="Normal"/>
    <w:link w:val="Heading1Char"/>
    <w:uiPriority w:val="9"/>
    <w:qFormat/>
    <w:rsid w:val="00E30860"/>
    <w:pPr>
      <w:spacing w:before="240" w:after="120"/>
      <w:outlineLvl w:val="0"/>
    </w:pPr>
    <w:rPr>
      <w:color w:val="00858A"/>
      <w:sz w:val="36"/>
      <w:szCs w:val="32"/>
    </w:rPr>
  </w:style>
  <w:style w:type="paragraph" w:styleId="Heading2">
    <w:name w:val="heading 2"/>
    <w:basedOn w:val="Normal"/>
    <w:next w:val="Normal"/>
    <w:link w:val="Heading2Char"/>
    <w:uiPriority w:val="9"/>
    <w:unhideWhenUsed/>
    <w:qFormat/>
    <w:rsid w:val="00E30860"/>
    <w:pPr>
      <w:widowControl w:val="0"/>
      <w:suppressAutoHyphens/>
      <w:autoSpaceDE w:val="0"/>
      <w:autoSpaceDN w:val="0"/>
      <w:adjustRightInd w:val="0"/>
      <w:spacing w:before="240" w:after="120"/>
      <w:textAlignment w:val="center"/>
      <w:outlineLvl w:val="1"/>
    </w:pPr>
    <w:rPr>
      <w:rFonts w:eastAsia="Calibri" w:cs="GillSans-SemiBold"/>
      <w:color w:val="00858A"/>
      <w:sz w:val="32"/>
      <w:szCs w:val="28"/>
    </w:rPr>
  </w:style>
  <w:style w:type="paragraph" w:styleId="Heading3">
    <w:name w:val="heading 3"/>
    <w:basedOn w:val="Normal"/>
    <w:next w:val="Normal"/>
    <w:link w:val="Heading3Char"/>
    <w:uiPriority w:val="9"/>
    <w:unhideWhenUsed/>
    <w:qFormat/>
    <w:rsid w:val="00E30860"/>
    <w:pPr>
      <w:keepNext/>
      <w:keepLines/>
      <w:spacing w:before="240" w:after="120"/>
      <w:outlineLvl w:val="2"/>
    </w:pPr>
    <w:rPr>
      <w:rFonts w:eastAsiaTheme="majorEastAsia" w:cstheme="majorBidi"/>
      <w:color w:val="00858A"/>
      <w:sz w:val="28"/>
      <w:szCs w:val="24"/>
    </w:rPr>
  </w:style>
  <w:style w:type="paragraph" w:styleId="Heading4">
    <w:name w:val="heading 4"/>
    <w:basedOn w:val="Normal"/>
    <w:next w:val="Normal"/>
    <w:link w:val="Heading4Char"/>
    <w:uiPriority w:val="9"/>
    <w:unhideWhenUsed/>
    <w:qFormat/>
    <w:rsid w:val="00E30860"/>
    <w:pPr>
      <w:spacing w:before="240" w:after="120"/>
      <w:outlineLvl w:val="3"/>
    </w:pPr>
    <w:rPr>
      <w:color w:val="00858A"/>
    </w:rPr>
  </w:style>
  <w:style w:type="paragraph" w:styleId="Heading5">
    <w:name w:val="heading 5"/>
    <w:basedOn w:val="Normal"/>
    <w:next w:val="Normal"/>
    <w:link w:val="Heading5Char"/>
    <w:uiPriority w:val="9"/>
    <w:semiHidden/>
    <w:unhideWhenUsed/>
    <w:rsid w:val="00E30860"/>
    <w:pPr>
      <w:keepNext/>
      <w:keepLines/>
      <w:spacing w:after="120"/>
      <w:outlineLvl w:val="4"/>
    </w:pPr>
    <w:rPr>
      <w:rFonts w:eastAsiaTheme="majorEastAsia" w:cstheme="majorBidi"/>
      <w:color w:val="0081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8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60"/>
    <w:rPr>
      <w:rFonts w:ascii="Segoe UI" w:hAnsi="Segoe UI" w:cs="Segoe UI"/>
      <w:sz w:val="18"/>
      <w:szCs w:val="18"/>
    </w:rPr>
  </w:style>
  <w:style w:type="character" w:customStyle="1" w:styleId="Heading4Char">
    <w:name w:val="Heading 4 Char"/>
    <w:basedOn w:val="DefaultParagraphFont"/>
    <w:link w:val="Heading4"/>
    <w:uiPriority w:val="9"/>
    <w:rsid w:val="00E30860"/>
    <w:rPr>
      <w:rFonts w:ascii="Gill Sans MT Std Light" w:hAnsi="Gill Sans MT Std Light"/>
      <w:color w:val="00858A"/>
      <w:sz w:val="24"/>
    </w:rPr>
  </w:style>
  <w:style w:type="paragraph" w:styleId="Footer">
    <w:name w:val="footer"/>
    <w:basedOn w:val="Normal"/>
    <w:link w:val="FooterChar"/>
    <w:uiPriority w:val="99"/>
    <w:unhideWhenUsed/>
    <w:rsid w:val="00E30860"/>
    <w:pPr>
      <w:tabs>
        <w:tab w:val="center" w:pos="4513"/>
        <w:tab w:val="right" w:pos="9026"/>
      </w:tabs>
      <w:spacing w:before="0" w:after="0" w:line="240" w:lineRule="auto"/>
    </w:pPr>
    <w:rPr>
      <w:color w:val="595959" w:themeColor="text1" w:themeTint="A6"/>
      <w:sz w:val="20"/>
    </w:rPr>
  </w:style>
  <w:style w:type="character" w:customStyle="1" w:styleId="FooterChar">
    <w:name w:val="Footer Char"/>
    <w:basedOn w:val="DefaultParagraphFont"/>
    <w:link w:val="Footer"/>
    <w:uiPriority w:val="99"/>
    <w:rsid w:val="00E30860"/>
    <w:rPr>
      <w:rFonts w:ascii="Gill Sans MT Std Light" w:hAnsi="Gill Sans MT Std Light"/>
      <w:color w:val="595959" w:themeColor="text1" w:themeTint="A6"/>
      <w:sz w:val="20"/>
    </w:rPr>
  </w:style>
  <w:style w:type="character" w:customStyle="1" w:styleId="Heading1Char">
    <w:name w:val="Heading 1 Char"/>
    <w:basedOn w:val="DefaultParagraphFont"/>
    <w:link w:val="Heading1"/>
    <w:uiPriority w:val="9"/>
    <w:rsid w:val="00E30860"/>
    <w:rPr>
      <w:rFonts w:ascii="Gill Sans MT Std Light" w:hAnsi="Gill Sans MT Std Light"/>
      <w:color w:val="00858A"/>
      <w:sz w:val="36"/>
      <w:szCs w:val="32"/>
    </w:rPr>
  </w:style>
  <w:style w:type="paragraph" w:customStyle="1" w:styleId="Headingmain">
    <w:name w:val="Heading main"/>
    <w:basedOn w:val="Normal"/>
    <w:next w:val="Normal"/>
    <w:qFormat/>
    <w:rsid w:val="00E30860"/>
    <w:pPr>
      <w:widowControl w:val="0"/>
      <w:autoSpaceDE w:val="0"/>
      <w:autoSpaceDN w:val="0"/>
      <w:adjustRightInd w:val="0"/>
      <w:spacing w:before="0" w:after="0"/>
      <w:textAlignment w:val="center"/>
    </w:pPr>
    <w:rPr>
      <w:rFonts w:cs="GillSans-SemiBold"/>
      <w:caps/>
      <w:color w:val="00858A"/>
      <w:sz w:val="48"/>
      <w:szCs w:val="52"/>
    </w:rPr>
  </w:style>
  <w:style w:type="paragraph" w:customStyle="1" w:styleId="Headingsub">
    <w:name w:val="Heading sub"/>
    <w:basedOn w:val="Normal"/>
    <w:next w:val="Normal"/>
    <w:qFormat/>
    <w:rsid w:val="00E30860"/>
    <w:pPr>
      <w:spacing w:after="120"/>
    </w:pPr>
    <w:rPr>
      <w:caps/>
      <w:color w:val="00858A"/>
      <w:sz w:val="40"/>
      <w:szCs w:val="54"/>
    </w:rPr>
  </w:style>
  <w:style w:type="character" w:customStyle="1" w:styleId="Heading2Char">
    <w:name w:val="Heading 2 Char"/>
    <w:basedOn w:val="DefaultParagraphFont"/>
    <w:link w:val="Heading2"/>
    <w:uiPriority w:val="9"/>
    <w:rsid w:val="00E30860"/>
    <w:rPr>
      <w:rFonts w:ascii="Gill Sans MT Std Light" w:eastAsia="Calibri" w:hAnsi="Gill Sans MT Std Light" w:cs="GillSans-SemiBold"/>
      <w:color w:val="00858A"/>
      <w:sz w:val="32"/>
      <w:szCs w:val="28"/>
    </w:rPr>
  </w:style>
  <w:style w:type="paragraph" w:customStyle="1" w:styleId="Numberedlist">
    <w:name w:val="Numbered list"/>
    <w:basedOn w:val="Normal"/>
    <w:qFormat/>
    <w:rsid w:val="00E30860"/>
    <w:pPr>
      <w:widowControl w:val="0"/>
      <w:numPr>
        <w:numId w:val="5"/>
      </w:numPr>
      <w:autoSpaceDE w:val="0"/>
      <w:autoSpaceDN w:val="0"/>
      <w:adjustRightInd w:val="0"/>
      <w:spacing w:after="120"/>
      <w:ind w:left="714" w:hanging="357"/>
      <w:contextualSpacing/>
    </w:pPr>
    <w:rPr>
      <w:rFonts w:eastAsiaTheme="minorEastAsia" w:cs="Gill Sans"/>
      <w:color w:val="000000" w:themeColor="text1"/>
      <w:lang w:eastAsia="en-AU"/>
    </w:rPr>
  </w:style>
  <w:style w:type="paragraph" w:customStyle="1" w:styleId="Numberedlist-level2">
    <w:name w:val="Numbered list - level 2"/>
    <w:basedOn w:val="Normal"/>
    <w:qFormat/>
    <w:rsid w:val="00E30860"/>
    <w:pPr>
      <w:numPr>
        <w:numId w:val="6"/>
      </w:numPr>
      <w:spacing w:before="0" w:after="120"/>
      <w:ind w:left="1066" w:hanging="357"/>
      <w:contextualSpacing/>
    </w:pPr>
    <w:rPr>
      <w:color w:val="000000" w:themeColor="text1"/>
      <w:lang w:eastAsia="en-AU"/>
    </w:rPr>
  </w:style>
  <w:style w:type="character" w:styleId="Hyperlink">
    <w:name w:val="Hyperlink"/>
    <w:basedOn w:val="LineNumber"/>
    <w:uiPriority w:val="99"/>
    <w:unhideWhenUsed/>
    <w:rsid w:val="00E30860"/>
    <w:rPr>
      <w:color w:val="00858A"/>
      <w:u w:val="single"/>
    </w:rPr>
  </w:style>
  <w:style w:type="paragraph" w:customStyle="1" w:styleId="Listparagraph-level2">
    <w:name w:val="List paragraph - level 2"/>
    <w:basedOn w:val="Normal"/>
    <w:qFormat/>
    <w:rsid w:val="00E30860"/>
    <w:pPr>
      <w:numPr>
        <w:ilvl w:val="1"/>
        <w:numId w:val="3"/>
      </w:numPr>
      <w:spacing w:before="0" w:after="120"/>
      <w:ind w:left="1066" w:hanging="357"/>
      <w:contextualSpacing/>
    </w:pPr>
  </w:style>
  <w:style w:type="character" w:customStyle="1" w:styleId="Heading3Char">
    <w:name w:val="Heading 3 Char"/>
    <w:basedOn w:val="DefaultParagraphFont"/>
    <w:link w:val="Heading3"/>
    <w:uiPriority w:val="9"/>
    <w:rsid w:val="00E30860"/>
    <w:rPr>
      <w:rFonts w:ascii="Gill Sans MT Std Light" w:eastAsiaTheme="majorEastAsia" w:hAnsi="Gill Sans MT Std Light" w:cstheme="majorBidi"/>
      <w:color w:val="00858A"/>
      <w:sz w:val="28"/>
      <w:szCs w:val="24"/>
    </w:rPr>
  </w:style>
  <w:style w:type="character" w:styleId="UnresolvedMention">
    <w:name w:val="Unresolved Mention"/>
    <w:basedOn w:val="DefaultParagraphFont"/>
    <w:uiPriority w:val="99"/>
    <w:semiHidden/>
    <w:unhideWhenUsed/>
    <w:rsid w:val="00E30860"/>
    <w:rPr>
      <w:color w:val="605E5C"/>
      <w:shd w:val="clear" w:color="auto" w:fill="E1DFDD"/>
    </w:rPr>
  </w:style>
  <w:style w:type="character" w:styleId="FollowedHyperlink">
    <w:name w:val="FollowedHyperlink"/>
    <w:basedOn w:val="DefaultParagraphFont"/>
    <w:uiPriority w:val="99"/>
    <w:semiHidden/>
    <w:unhideWhenUsed/>
    <w:rsid w:val="00E30860"/>
    <w:rPr>
      <w:color w:val="954F72" w:themeColor="followedHyperlink"/>
      <w:u w:val="single"/>
    </w:rPr>
  </w:style>
  <w:style w:type="paragraph" w:styleId="NormalWeb">
    <w:name w:val="Normal (Web)"/>
    <w:basedOn w:val="Normal"/>
    <w:uiPriority w:val="99"/>
    <w:unhideWhenUsed/>
    <w:rsid w:val="00E30860"/>
    <w:pPr>
      <w:spacing w:before="100" w:beforeAutospacing="1" w:after="100" w:afterAutospacing="1" w:line="240" w:lineRule="auto"/>
    </w:pPr>
    <w:rPr>
      <w:rFonts w:ascii="Times New Roman" w:eastAsia="Times New Roman" w:hAnsi="Times New Roman" w:cs="Times New Roman"/>
      <w:szCs w:val="24"/>
      <w:lang w:eastAsia="en-AU"/>
    </w:rPr>
  </w:style>
  <w:style w:type="character" w:styleId="LineNumber">
    <w:name w:val="line number"/>
    <w:basedOn w:val="DefaultParagraphFont"/>
    <w:uiPriority w:val="99"/>
    <w:semiHidden/>
    <w:unhideWhenUsed/>
    <w:rsid w:val="00E30860"/>
  </w:style>
  <w:style w:type="paragraph" w:customStyle="1" w:styleId="Listparagraph-teal">
    <w:name w:val="List paragraph - teal"/>
    <w:basedOn w:val="Normal"/>
    <w:qFormat/>
    <w:rsid w:val="00E30860"/>
    <w:pPr>
      <w:numPr>
        <w:numId w:val="4"/>
      </w:numPr>
      <w:spacing w:after="120"/>
      <w:ind w:left="714" w:hanging="357"/>
      <w:contextualSpacing/>
    </w:pPr>
    <w:rPr>
      <w:szCs w:val="24"/>
    </w:rPr>
  </w:style>
  <w:style w:type="paragraph" w:customStyle="1" w:styleId="Tableparagraph-grey">
    <w:name w:val="Table paragraph - grey"/>
    <w:basedOn w:val="Normal"/>
    <w:qFormat/>
    <w:rsid w:val="00E30860"/>
    <w:pPr>
      <w:spacing w:after="120"/>
      <w:ind w:left="113" w:right="57"/>
    </w:pPr>
    <w:rPr>
      <w:rFonts w:cs="Times New Roman (Body CS)"/>
      <w:color w:val="6D6E71"/>
      <w:sz w:val="22"/>
    </w:rPr>
  </w:style>
  <w:style w:type="paragraph" w:styleId="TOCHeading">
    <w:name w:val="TOC Heading"/>
    <w:basedOn w:val="Normal"/>
    <w:next w:val="Normal"/>
    <w:uiPriority w:val="39"/>
    <w:unhideWhenUsed/>
    <w:qFormat/>
    <w:rsid w:val="00E30860"/>
    <w:pPr>
      <w:keepNext/>
      <w:keepLines/>
      <w:spacing w:after="0"/>
    </w:pPr>
    <w:rPr>
      <w:rFonts w:eastAsiaTheme="majorEastAsia" w:cstheme="majorBidi"/>
      <w:caps/>
      <w:color w:val="00858A"/>
      <w:sz w:val="32"/>
      <w:lang w:val="en-US"/>
    </w:rPr>
  </w:style>
  <w:style w:type="paragraph" w:styleId="TOC1">
    <w:name w:val="toc 1"/>
    <w:next w:val="Normal"/>
    <w:autoRedefine/>
    <w:uiPriority w:val="39"/>
    <w:unhideWhenUsed/>
    <w:rsid w:val="00E30860"/>
    <w:pPr>
      <w:tabs>
        <w:tab w:val="right" w:leader="dot" w:pos="13948"/>
      </w:tabs>
      <w:spacing w:before="120" w:after="100"/>
    </w:pPr>
    <w:rPr>
      <w:rFonts w:ascii="Gill Sans MT Std Light" w:hAnsi="Gill Sans MT Std Light"/>
      <w:noProof/>
      <w:sz w:val="24"/>
    </w:rPr>
  </w:style>
  <w:style w:type="paragraph" w:styleId="TOC2">
    <w:name w:val="toc 2"/>
    <w:basedOn w:val="Normal"/>
    <w:next w:val="Normal"/>
    <w:autoRedefine/>
    <w:uiPriority w:val="39"/>
    <w:unhideWhenUsed/>
    <w:rsid w:val="00E30860"/>
    <w:pPr>
      <w:tabs>
        <w:tab w:val="right" w:leader="dot" w:pos="13948"/>
      </w:tabs>
      <w:spacing w:after="100"/>
      <w:ind w:left="142" w:right="-1"/>
    </w:pPr>
    <w:rPr>
      <w:noProof/>
    </w:rPr>
  </w:style>
  <w:style w:type="paragraph" w:styleId="TOC3">
    <w:name w:val="toc 3"/>
    <w:basedOn w:val="Normal"/>
    <w:next w:val="Normal"/>
    <w:autoRedefine/>
    <w:uiPriority w:val="39"/>
    <w:unhideWhenUsed/>
    <w:rsid w:val="00E30860"/>
    <w:pPr>
      <w:tabs>
        <w:tab w:val="right" w:leader="dot" w:pos="13948"/>
      </w:tabs>
      <w:spacing w:after="100"/>
      <w:ind w:left="284"/>
    </w:pPr>
    <w:rPr>
      <w:noProof/>
    </w:rPr>
  </w:style>
  <w:style w:type="paragraph" w:customStyle="1" w:styleId="Tableparagraph">
    <w:name w:val="Table paragraph"/>
    <w:basedOn w:val="Normal"/>
    <w:uiPriority w:val="1"/>
    <w:qFormat/>
    <w:rsid w:val="00E30860"/>
    <w:pPr>
      <w:widowControl w:val="0"/>
      <w:autoSpaceDE w:val="0"/>
      <w:autoSpaceDN w:val="0"/>
      <w:spacing w:after="120"/>
      <w:ind w:left="113" w:right="57"/>
    </w:pPr>
    <w:rPr>
      <w:rFonts w:eastAsia="Arial" w:cs="Arial"/>
      <w:color w:val="000000" w:themeColor="text1"/>
      <w:sz w:val="22"/>
      <w:lang w:val="en-US"/>
    </w:rPr>
  </w:style>
  <w:style w:type="paragraph" w:customStyle="1" w:styleId="Tableheader">
    <w:name w:val="Table header"/>
    <w:basedOn w:val="Normal"/>
    <w:next w:val="Normal"/>
    <w:rsid w:val="00E30860"/>
    <w:pPr>
      <w:spacing w:after="120"/>
      <w:ind w:left="113" w:right="57"/>
    </w:pPr>
    <w:rPr>
      <w:rFonts w:cs="Times New Roman (Body CS)"/>
      <w:b/>
      <w:color w:val="FFFFFF" w:themeColor="background1"/>
      <w:sz w:val="22"/>
    </w:rPr>
  </w:style>
  <w:style w:type="paragraph" w:styleId="Header">
    <w:name w:val="header"/>
    <w:basedOn w:val="Normal"/>
    <w:link w:val="HeaderChar"/>
    <w:uiPriority w:val="99"/>
    <w:unhideWhenUsed/>
    <w:rsid w:val="00E3086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30860"/>
    <w:rPr>
      <w:rFonts w:ascii="Gill Sans MT Std Light" w:hAnsi="Gill Sans MT Std Light"/>
      <w:sz w:val="24"/>
    </w:rPr>
  </w:style>
  <w:style w:type="character" w:styleId="PlaceholderText">
    <w:name w:val="Placeholder Text"/>
    <w:basedOn w:val="DefaultParagraphFont"/>
    <w:uiPriority w:val="99"/>
    <w:semiHidden/>
    <w:rsid w:val="00E30860"/>
    <w:rPr>
      <w:color w:val="808080"/>
    </w:rPr>
  </w:style>
  <w:style w:type="paragraph" w:customStyle="1" w:styleId="Tableheader2">
    <w:name w:val="Table header 2"/>
    <w:basedOn w:val="Normal"/>
    <w:next w:val="Normal"/>
    <w:qFormat/>
    <w:rsid w:val="00E30860"/>
    <w:pPr>
      <w:spacing w:after="120"/>
      <w:ind w:left="113" w:right="57"/>
    </w:pPr>
    <w:rPr>
      <w:color w:val="00858A"/>
      <w:sz w:val="22"/>
    </w:rPr>
  </w:style>
  <w:style w:type="paragraph" w:styleId="ListParagraph">
    <w:name w:val="List Paragraph"/>
    <w:basedOn w:val="Normal"/>
    <w:uiPriority w:val="34"/>
    <w:qFormat/>
    <w:rsid w:val="00E30860"/>
    <w:pPr>
      <w:numPr>
        <w:numId w:val="2"/>
      </w:numPr>
      <w:spacing w:after="120"/>
      <w:contextualSpacing/>
    </w:pPr>
  </w:style>
  <w:style w:type="character" w:customStyle="1" w:styleId="Heading5Char">
    <w:name w:val="Heading 5 Char"/>
    <w:basedOn w:val="DefaultParagraphFont"/>
    <w:link w:val="Heading5"/>
    <w:uiPriority w:val="9"/>
    <w:semiHidden/>
    <w:rsid w:val="00E30860"/>
    <w:rPr>
      <w:rFonts w:ascii="Gill Sans MT Std Light" w:eastAsiaTheme="majorEastAsia" w:hAnsi="Gill Sans MT Std Light" w:cstheme="majorBidi"/>
      <w:color w:val="008181"/>
      <w:sz w:val="24"/>
    </w:rPr>
  </w:style>
  <w:style w:type="paragraph" w:customStyle="1" w:styleId="Tablelist">
    <w:name w:val="Table list"/>
    <w:basedOn w:val="Tableparagraph"/>
    <w:qFormat/>
    <w:rsid w:val="008655C3"/>
    <w:pPr>
      <w:numPr>
        <w:numId w:val="1"/>
      </w:numPr>
      <w:spacing w:before="40" w:after="40"/>
      <w:ind w:left="397" w:hanging="284"/>
    </w:pPr>
  </w:style>
  <w:style w:type="paragraph" w:customStyle="1" w:styleId="Versioncontrol">
    <w:name w:val="Version control"/>
    <w:basedOn w:val="Normal"/>
    <w:qFormat/>
    <w:rsid w:val="00E30860"/>
    <w:pPr>
      <w:spacing w:before="0" w:after="0"/>
    </w:pPr>
    <w:rPr>
      <w:color w:val="7F7F7F" w:themeColor="text1" w:themeTint="80"/>
      <w:sz w:val="22"/>
      <w:lang w:val="en-US"/>
    </w:rPr>
  </w:style>
  <w:style w:type="character" w:styleId="CommentReference">
    <w:name w:val="annotation reference"/>
    <w:basedOn w:val="DefaultParagraphFont"/>
    <w:uiPriority w:val="99"/>
    <w:semiHidden/>
    <w:unhideWhenUsed/>
    <w:rsid w:val="00E30860"/>
    <w:rPr>
      <w:sz w:val="16"/>
      <w:szCs w:val="16"/>
    </w:rPr>
  </w:style>
  <w:style w:type="paragraph" w:styleId="CommentText">
    <w:name w:val="annotation text"/>
    <w:basedOn w:val="Normal"/>
    <w:link w:val="CommentTextChar"/>
    <w:uiPriority w:val="99"/>
    <w:semiHidden/>
    <w:unhideWhenUsed/>
    <w:rsid w:val="00E30860"/>
    <w:pPr>
      <w:spacing w:line="240" w:lineRule="auto"/>
    </w:pPr>
    <w:rPr>
      <w:sz w:val="20"/>
      <w:szCs w:val="20"/>
    </w:rPr>
  </w:style>
  <w:style w:type="character" w:customStyle="1" w:styleId="CommentTextChar">
    <w:name w:val="Comment Text Char"/>
    <w:basedOn w:val="DefaultParagraphFont"/>
    <w:link w:val="CommentText"/>
    <w:uiPriority w:val="99"/>
    <w:semiHidden/>
    <w:rsid w:val="00E30860"/>
    <w:rPr>
      <w:rFonts w:ascii="Gill Sans MT Std Light" w:hAnsi="Gill Sans MT Std Light"/>
      <w:sz w:val="20"/>
      <w:szCs w:val="20"/>
    </w:rPr>
  </w:style>
  <w:style w:type="paragraph" w:styleId="CommentSubject">
    <w:name w:val="annotation subject"/>
    <w:basedOn w:val="CommentText"/>
    <w:next w:val="CommentText"/>
    <w:link w:val="CommentSubjectChar"/>
    <w:uiPriority w:val="99"/>
    <w:semiHidden/>
    <w:unhideWhenUsed/>
    <w:rsid w:val="00E30860"/>
    <w:rPr>
      <w:b/>
      <w:bCs/>
    </w:rPr>
  </w:style>
  <w:style w:type="character" w:customStyle="1" w:styleId="CommentSubjectChar">
    <w:name w:val="Comment Subject Char"/>
    <w:basedOn w:val="CommentTextChar"/>
    <w:link w:val="CommentSubject"/>
    <w:uiPriority w:val="99"/>
    <w:semiHidden/>
    <w:rsid w:val="00E30860"/>
    <w:rPr>
      <w:rFonts w:ascii="Gill Sans MT Std Light" w:hAnsi="Gill Sans MT Std Light"/>
      <w:b/>
      <w:bCs/>
      <w:sz w:val="20"/>
      <w:szCs w:val="20"/>
    </w:rPr>
  </w:style>
  <w:style w:type="table" w:styleId="TableGrid">
    <w:name w:val="Table Grid"/>
    <w:basedOn w:val="TableNormal"/>
    <w:uiPriority w:val="39"/>
    <w:rsid w:val="0075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8068">
      <w:bodyDiv w:val="1"/>
      <w:marLeft w:val="0"/>
      <w:marRight w:val="0"/>
      <w:marTop w:val="0"/>
      <w:marBottom w:val="0"/>
      <w:divBdr>
        <w:top w:val="none" w:sz="0" w:space="0" w:color="auto"/>
        <w:left w:val="none" w:sz="0" w:space="0" w:color="auto"/>
        <w:bottom w:val="none" w:sz="0" w:space="0" w:color="auto"/>
        <w:right w:val="none" w:sz="0" w:space="0" w:color="auto"/>
      </w:divBdr>
    </w:div>
    <w:div w:id="628971519">
      <w:bodyDiv w:val="1"/>
      <w:marLeft w:val="0"/>
      <w:marRight w:val="0"/>
      <w:marTop w:val="0"/>
      <w:marBottom w:val="0"/>
      <w:divBdr>
        <w:top w:val="none" w:sz="0" w:space="0" w:color="auto"/>
        <w:left w:val="none" w:sz="0" w:space="0" w:color="auto"/>
        <w:bottom w:val="none" w:sz="0" w:space="0" w:color="auto"/>
        <w:right w:val="none" w:sz="0" w:space="0" w:color="auto"/>
      </w:divBdr>
    </w:div>
    <w:div w:id="819538399">
      <w:bodyDiv w:val="1"/>
      <w:marLeft w:val="0"/>
      <w:marRight w:val="0"/>
      <w:marTop w:val="0"/>
      <w:marBottom w:val="0"/>
      <w:divBdr>
        <w:top w:val="none" w:sz="0" w:space="0" w:color="auto"/>
        <w:left w:val="none" w:sz="0" w:space="0" w:color="auto"/>
        <w:bottom w:val="none" w:sz="0" w:space="0" w:color="auto"/>
        <w:right w:val="none" w:sz="0" w:space="0" w:color="auto"/>
      </w:divBdr>
    </w:div>
    <w:div w:id="1208568724">
      <w:bodyDiv w:val="1"/>
      <w:marLeft w:val="0"/>
      <w:marRight w:val="0"/>
      <w:marTop w:val="0"/>
      <w:marBottom w:val="0"/>
      <w:divBdr>
        <w:top w:val="none" w:sz="0" w:space="0" w:color="auto"/>
        <w:left w:val="none" w:sz="0" w:space="0" w:color="auto"/>
        <w:bottom w:val="none" w:sz="0" w:space="0" w:color="auto"/>
        <w:right w:val="none" w:sz="0" w:space="0" w:color="auto"/>
      </w:divBdr>
    </w:div>
    <w:div w:id="18541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sc.tas.gov.au/students/courses/a-z/" TargetMode="External"/><Relationship Id="rId13" Type="http://schemas.openxmlformats.org/officeDocument/2006/relationships/hyperlink" Target="https://www.tasc.tas.gov.au/students/academic-integrity/" TargetMode="External"/><Relationship Id="rId18" Type="http://schemas.openxmlformats.org/officeDocument/2006/relationships/hyperlink" Target="https://www.tasc.tas.gov.au/providers/quality-assurance/?highlight=quality%20assuranc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tasc.tas.gov.au/providers/quality-assurance/" TargetMode="External"/><Relationship Id="rId7" Type="http://schemas.openxmlformats.org/officeDocument/2006/relationships/endnotes" Target="endnotes.xml"/><Relationship Id="rId12" Type="http://schemas.openxmlformats.org/officeDocument/2006/relationships/hyperlink" Target="https://www.tasc.tas.gov.au/providers/information-for-schools/assessment-information-schools/internal-moderation-of-assessments/?highlight=internal%20assessment" TargetMode="External"/><Relationship Id="rId17" Type="http://schemas.openxmlformats.org/officeDocument/2006/relationships/hyperlink" Target="https://www.tasc.tas.gov.au/wp-content/uploads/2020/03/Academic-Integrity-Guide.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asc.tas.gov.au/students/academic-integrity/" TargetMode="External"/><Relationship Id="rId20" Type="http://schemas.openxmlformats.org/officeDocument/2006/relationships/hyperlink" Target="https://www.tasc.tas.gov.au/providers/about-tracs/?highlight=trac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sc.tas.gov.au/students/courses/a-z/" TargetMode="External"/><Relationship Id="rId24" Type="http://schemas.openxmlformats.org/officeDocument/2006/relationships/hyperlink" Target="mailto:QualityAssurance@tasc.tas.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sc.tas.gov.au/wp-content/uploads/2020/03/Academic-Integrity-Guide.pdf" TargetMode="External"/><Relationship Id="rId23" Type="http://schemas.openxmlformats.org/officeDocument/2006/relationships/hyperlink" Target="https://www.tasc.tas.gov.au/providers/quality-assurance/standards-for-providers/?highlight=Standards%20for%20providers" TargetMode="External"/><Relationship Id="rId28" Type="http://schemas.openxmlformats.org/officeDocument/2006/relationships/footer" Target="footer2.xml"/><Relationship Id="rId10" Type="http://schemas.openxmlformats.org/officeDocument/2006/relationships/hyperlink" Target="https://www.tasc.tas.gov.au/teachers/internal-assessment/" TargetMode="External"/><Relationship Id="rId19" Type="http://schemas.openxmlformats.org/officeDocument/2006/relationships/hyperlink" Target="https://www.tasc.tas.gov.au/wp-content/uploads/2020/03/Standards-for-provider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sc.tas.gov.au/wp-content/uploads/2020/03/Standards-for-providers.pdf" TargetMode="External"/><Relationship Id="rId14" Type="http://schemas.openxmlformats.org/officeDocument/2006/relationships/hyperlink" Target="https://www.tasc.tas.gov.au/wp-content/uploads/2020/03/Academic-Integrity-Guide.pdf" TargetMode="External"/><Relationship Id="rId22" Type="http://schemas.openxmlformats.org/officeDocument/2006/relationships/hyperlink" Target="http://www.tasc.tas.gov.au"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ASC\Corporate\Templates\TASC%20templates\Teal%20-%20External%20documents\TASC%20Teal%20-%20A4%20portrait%20(header%20first%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7DC5-05B3-4380-B6CF-2C96FEEF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TASC Teal - A4 portrait (header first page)</Template>
  <TotalTime>12</TotalTime>
  <Pages>4</Pages>
  <Words>2325</Words>
  <Characters>13254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TASC Registration Checklist</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TASC Registration Checklist</dc:title>
  <dc:subject/>
  <dc:creator>Naomi.Colbeck</dc:creator>
  <cp:keywords/>
  <dc:description/>
  <cp:lastModifiedBy>Colbeck, Naomi</cp:lastModifiedBy>
  <cp:revision>3</cp:revision>
  <cp:lastPrinted>2021-07-21T03:13:00Z</cp:lastPrinted>
  <dcterms:created xsi:type="dcterms:W3CDTF">2021-07-21T03:21:00Z</dcterms:created>
  <dcterms:modified xsi:type="dcterms:W3CDTF">2021-07-21T03:32:00Z</dcterms:modified>
</cp:coreProperties>
</file>