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6113" w:rsidR="002D48C4" w:rsidP="002D48C4" w:rsidRDefault="002D48C4" w14:paraId="422E193E" w14:textId="1C7B45F0">
      <w:pPr>
        <w:rPr>
          <w:rFonts w:ascii="Gill Sans MT Std Light" w:hAnsi="Gill Sans MT Std Light"/>
          <w:b/>
          <w:bCs/>
        </w:rPr>
      </w:pPr>
      <w:r>
        <w:rPr>
          <w:rFonts w:ascii="Gill Sans MT Std Light" w:hAnsi="Gill Sans MT Std Light"/>
          <w:b/>
          <w:bCs/>
          <w:sz w:val="32"/>
          <w:szCs w:val="32"/>
        </w:rPr>
        <w:t xml:space="preserve">Example </w:t>
      </w:r>
      <w:r w:rsidR="00A42B73">
        <w:rPr>
          <w:rFonts w:ascii="Gill Sans MT Std Light" w:hAnsi="Gill Sans MT Std Light"/>
          <w:b/>
          <w:bCs/>
          <w:sz w:val="32"/>
          <w:szCs w:val="32"/>
        </w:rPr>
        <w:t>1</w:t>
      </w:r>
      <w:r w:rsidR="0011359C">
        <w:rPr>
          <w:rFonts w:ascii="Gill Sans MT Std Light" w:hAnsi="Gill Sans MT Std Light"/>
          <w:b/>
          <w:bCs/>
          <w:sz w:val="32"/>
          <w:szCs w:val="32"/>
        </w:rPr>
        <w:t xml:space="preserve">: </w:t>
      </w:r>
      <w:r w:rsidR="00BF27E4">
        <w:rPr>
          <w:rFonts w:ascii="Gill Sans MT Std Light" w:hAnsi="Gill Sans MT Std Light"/>
          <w:b/>
          <w:bCs/>
          <w:sz w:val="32"/>
          <w:szCs w:val="32"/>
        </w:rPr>
        <w:t>C</w:t>
      </w:r>
      <w:r>
        <w:rPr>
          <w:rFonts w:ascii="Gill Sans MT Std Light" w:hAnsi="Gill Sans MT Std Light"/>
          <w:b/>
          <w:bCs/>
          <w:sz w:val="32"/>
          <w:szCs w:val="32"/>
        </w:rPr>
        <w:t xml:space="preserve">ontent </w:t>
      </w:r>
      <w:r w:rsidR="007A19BF">
        <w:rPr>
          <w:rFonts w:ascii="Gill Sans MT Std Light" w:hAnsi="Gill Sans MT Std Light"/>
          <w:b/>
          <w:bCs/>
          <w:sz w:val="32"/>
          <w:szCs w:val="32"/>
        </w:rPr>
        <w:t>for c</w:t>
      </w:r>
      <w:r w:rsidR="004B27E9">
        <w:rPr>
          <w:rFonts w:ascii="Gill Sans MT Std Light" w:hAnsi="Gill Sans MT Std Light"/>
          <w:b/>
          <w:bCs/>
          <w:sz w:val="32"/>
          <w:szCs w:val="32"/>
        </w:rPr>
        <w:t>orrespondence</w:t>
      </w:r>
      <w:r w:rsidR="00BF27E4">
        <w:rPr>
          <w:rFonts w:ascii="Gill Sans MT Std Light" w:hAnsi="Gill Sans MT Std Light"/>
          <w:b/>
          <w:bCs/>
          <w:sz w:val="32"/>
          <w:szCs w:val="32"/>
        </w:rPr>
        <w:t xml:space="preserve"> to </w:t>
      </w:r>
      <w:r w:rsidR="007A19BF">
        <w:rPr>
          <w:rFonts w:ascii="Gill Sans MT Std Light" w:hAnsi="Gill Sans MT Std Light"/>
          <w:b/>
          <w:bCs/>
          <w:sz w:val="32"/>
          <w:szCs w:val="32"/>
        </w:rPr>
        <w:t>p</w:t>
      </w:r>
      <w:r w:rsidR="00BF27E4">
        <w:rPr>
          <w:rFonts w:ascii="Gill Sans MT Std Light" w:hAnsi="Gill Sans MT Std Light"/>
          <w:b/>
          <w:bCs/>
          <w:sz w:val="32"/>
          <w:szCs w:val="32"/>
        </w:rPr>
        <w:t>arents/</w:t>
      </w:r>
      <w:r w:rsidR="007A19BF">
        <w:rPr>
          <w:rFonts w:ascii="Gill Sans MT Std Light" w:hAnsi="Gill Sans MT Std Light"/>
          <w:b/>
          <w:bCs/>
          <w:sz w:val="32"/>
          <w:szCs w:val="32"/>
        </w:rPr>
        <w:t>g</w:t>
      </w:r>
      <w:r w:rsidR="00BF27E4">
        <w:rPr>
          <w:rFonts w:ascii="Gill Sans MT Std Light" w:hAnsi="Gill Sans MT Std Light"/>
          <w:b/>
          <w:bCs/>
          <w:sz w:val="32"/>
          <w:szCs w:val="32"/>
        </w:rPr>
        <w:t xml:space="preserve">uardians or </w:t>
      </w:r>
      <w:r w:rsidR="007A19BF">
        <w:rPr>
          <w:rFonts w:ascii="Gill Sans MT Std Light" w:hAnsi="Gill Sans MT Std Light"/>
          <w:b/>
          <w:bCs/>
          <w:sz w:val="32"/>
          <w:szCs w:val="32"/>
        </w:rPr>
        <w:t>c</w:t>
      </w:r>
      <w:r w:rsidR="00BF27E4">
        <w:rPr>
          <w:rFonts w:ascii="Gill Sans MT Std Light" w:hAnsi="Gill Sans MT Std Light"/>
          <w:b/>
          <w:bCs/>
          <w:sz w:val="32"/>
          <w:szCs w:val="32"/>
        </w:rPr>
        <w:t>arers</w:t>
      </w:r>
      <w:r w:rsidR="00834ADF">
        <w:rPr>
          <w:rFonts w:ascii="Gill Sans MT Std Light" w:hAnsi="Gill Sans MT Std Light"/>
          <w:b/>
          <w:bCs/>
          <w:sz w:val="32"/>
          <w:szCs w:val="32"/>
        </w:rPr>
        <w:br/>
      </w:r>
      <w:r w:rsidR="00834ADF">
        <w:rPr>
          <w:rFonts w:ascii="Gill Sans MT Std Light" w:hAnsi="Gill Sans MT Std Light"/>
          <w:b/>
          <w:bCs/>
          <w:sz w:val="32"/>
          <w:szCs w:val="32"/>
        </w:rPr>
        <w:t>P</w:t>
      </w:r>
      <w:r w:rsidRPr="00B41FD6" w:rsidR="001254F6">
        <w:rPr>
          <w:rFonts w:ascii="Gill Sans MT Std Light" w:hAnsi="Gill Sans MT Std Light"/>
          <w:b/>
          <w:bCs/>
          <w:sz w:val="32"/>
          <w:szCs w:val="32"/>
        </w:rPr>
        <w:t xml:space="preserve">re-Year 11 </w:t>
      </w:r>
      <w:r w:rsidR="007A19BF">
        <w:rPr>
          <w:rFonts w:ascii="Gill Sans MT Std Light" w:hAnsi="Gill Sans MT Std Light"/>
          <w:b/>
          <w:bCs/>
          <w:sz w:val="32"/>
          <w:szCs w:val="32"/>
        </w:rPr>
        <w:t>E</w:t>
      </w:r>
      <w:r w:rsidRPr="00B41FD6" w:rsidR="001254F6">
        <w:rPr>
          <w:rFonts w:ascii="Gill Sans MT Std Light" w:hAnsi="Gill Sans MT Std Light"/>
          <w:b/>
          <w:bCs/>
          <w:sz w:val="32"/>
          <w:szCs w:val="32"/>
        </w:rPr>
        <w:t xml:space="preserve">nrolment in </w:t>
      </w:r>
      <w:r w:rsidRPr="00B41FD6" w:rsidR="00976D75">
        <w:rPr>
          <w:rFonts w:ascii="Gill Sans MT Std Light" w:hAnsi="Gill Sans MT Std Light"/>
          <w:b/>
          <w:bCs/>
          <w:sz w:val="32"/>
          <w:szCs w:val="32"/>
        </w:rPr>
        <w:t xml:space="preserve">a TASC Level 3 course </w:t>
      </w:r>
      <w:r w:rsidRPr="00B41FD6" w:rsidR="001254F6">
        <w:rPr>
          <w:rFonts w:ascii="Gill Sans MT Std Light" w:hAnsi="Gill Sans MT Std Light"/>
          <w:b/>
          <w:bCs/>
        </w:rPr>
        <w:br/>
      </w:r>
      <w:r w:rsidRPr="00B41FD6" w:rsidR="001254F6">
        <w:rPr>
          <w:rFonts w:ascii="Gill Sans MT Std Light" w:hAnsi="Gill Sans MT Std Light"/>
          <w:b/>
          <w:bCs/>
        </w:rPr>
        <w:t xml:space="preserve"> </w:t>
      </w:r>
      <w:r w:rsidR="00DF6113">
        <w:rPr>
          <w:rFonts w:ascii="Gill Sans MT Std Light" w:hAnsi="Gill Sans MT Std Light"/>
          <w:b/>
          <w:bCs/>
        </w:rPr>
        <w:br/>
      </w:r>
      <w:r w:rsidRPr="00452B3A">
        <w:rPr>
          <w:rFonts w:ascii="Gill Sans MT Std Light" w:hAnsi="Gill Sans MT Std Light"/>
        </w:rPr>
        <w:t xml:space="preserve">Students who have </w:t>
      </w:r>
      <w:r>
        <w:rPr>
          <w:rFonts w:ascii="Gill Sans MT Std Light" w:hAnsi="Gill Sans MT Std Light"/>
        </w:rPr>
        <w:t xml:space="preserve">applied </w:t>
      </w:r>
      <w:r w:rsidRPr="00452B3A">
        <w:rPr>
          <w:rFonts w:ascii="Gill Sans MT Std Light" w:hAnsi="Gill Sans MT Std Light"/>
        </w:rPr>
        <w:t xml:space="preserve">to study a TASC-accredited course </w:t>
      </w:r>
      <w:r>
        <w:rPr>
          <w:rFonts w:ascii="Gill Sans MT Std Light" w:hAnsi="Gill Sans MT Std Light"/>
        </w:rPr>
        <w:t>this year will have their enrolment confirmed</w:t>
      </w:r>
      <w:r w:rsidR="006B2EE1">
        <w:rPr>
          <w:rFonts w:ascii="Gill Sans MT Std Light" w:hAnsi="Gill Sans MT Std Light"/>
        </w:rPr>
        <w:t xml:space="preserve"> following </w:t>
      </w:r>
      <w:r w:rsidR="002F651E">
        <w:rPr>
          <w:rFonts w:ascii="Gill Sans MT Std Light" w:hAnsi="Gill Sans MT Std Light"/>
        </w:rPr>
        <w:t xml:space="preserve">approval of our application to TASC. </w:t>
      </w:r>
      <w:r>
        <w:rPr>
          <w:rFonts w:ascii="Gill Sans MT Std Light" w:hAnsi="Gill Sans MT Std Light"/>
        </w:rPr>
        <w:br/>
      </w:r>
      <w:r>
        <w:rPr>
          <w:rFonts w:ascii="Gill Sans MT Std Light" w:hAnsi="Gill Sans MT Std Light"/>
        </w:rPr>
        <w:br/>
      </w:r>
      <w:r>
        <w:rPr>
          <w:rFonts w:ascii="Gill Sans MT Std Light" w:hAnsi="Gill Sans MT Std Light"/>
        </w:rPr>
        <w:t>As TASC-accredited courses are intended for study during senior secondary education, a</w:t>
      </w:r>
      <w:r w:rsidRPr="004B27E9">
        <w:rPr>
          <w:rFonts w:ascii="Gill Sans MT Std Light" w:hAnsi="Gill Sans MT Std Light"/>
        </w:rPr>
        <w:t xml:space="preserve"> pre-Year 11 enrolment in a TASC course means that a student is being extended beyond the F-10 Curriculum and</w:t>
      </w:r>
      <w:r>
        <w:rPr>
          <w:rFonts w:ascii="Gill Sans MT Std Light" w:hAnsi="Gill Sans MT Std Light"/>
        </w:rPr>
        <w:t xml:space="preserve"> engaging in </w:t>
      </w:r>
      <w:r w:rsidRPr="004B27E9">
        <w:rPr>
          <w:rFonts w:ascii="Gill Sans MT Std Light" w:hAnsi="Gill Sans MT Std Light"/>
        </w:rPr>
        <w:t>course content appropriate for students who are in Year 11 or higher.</w:t>
      </w:r>
      <w:r>
        <w:rPr>
          <w:rFonts w:ascii="Gill Sans MT Std Light" w:hAnsi="Gill Sans MT Std Light"/>
        </w:rPr>
        <w:t xml:space="preserve"> </w:t>
      </w:r>
    </w:p>
    <w:p w:rsidR="00B7730F" w:rsidP="002D48C4" w:rsidRDefault="00B7730F" w14:paraId="2A945F01" w14:textId="6352A568">
      <w:pPr>
        <w:rPr>
          <w:rFonts w:ascii="Gill Sans MT Std Light" w:hAnsi="Gill Sans MT Std Light"/>
        </w:rPr>
      </w:pPr>
      <w:r w:rsidRPr="00B7730F">
        <w:rPr>
          <w:rFonts w:ascii="Gill Sans MT Std Light" w:hAnsi="Gill Sans MT Std Light"/>
        </w:rPr>
        <w:t>TASC-accredited courses typically require students to participate in 150 hours of learning, with some of the learning and assessment activities being specified by work requirements. Generally, due to the volume of the course content, students are required to complete assessment activities and other additional work outside of the classroom.</w:t>
      </w:r>
    </w:p>
    <w:p w:rsidRPr="00B41FD6" w:rsidR="002D48C4" w:rsidP="002D48C4" w:rsidRDefault="002D48C4" w14:paraId="7D8B377C" w14:textId="40E9C46A">
      <w:pPr>
        <w:rPr>
          <w:rFonts w:ascii="Gill Sans MT Std Light" w:hAnsi="Gill Sans MT Std Light"/>
        </w:rPr>
      </w:pPr>
      <w:r w:rsidRPr="002A3960">
        <w:rPr>
          <w:rFonts w:ascii="Gill Sans MT Std Light" w:hAnsi="Gill Sans MT Std Light"/>
        </w:rPr>
        <w:t>Some courses involve study of topics and themes requiring a level of maturity typically demonstrated in the senior secondary years of education.</w:t>
      </w:r>
      <w:r>
        <w:rPr>
          <w:rFonts w:ascii="Gill Sans MT Std Light" w:hAnsi="Gill Sans MT Std Light"/>
        </w:rPr>
        <w:t xml:space="preserve"> It is important that parents/guardians or carers consider whether a pre-Year enrolment in a TASC-accredited course is in the best interest of </w:t>
      </w:r>
      <w:r w:rsidR="002F651E">
        <w:rPr>
          <w:rFonts w:ascii="Gill Sans MT Std Light" w:hAnsi="Gill Sans MT Std Light"/>
        </w:rPr>
        <w:t>their</w:t>
      </w:r>
      <w:r w:rsidR="004246B2">
        <w:rPr>
          <w:rFonts w:ascii="Gill Sans MT Std Light" w:hAnsi="Gill Sans MT Std Light"/>
        </w:rPr>
        <w:t xml:space="preserve"> child. </w:t>
      </w:r>
      <w:r w:rsidRPr="004B27E9">
        <w:rPr>
          <w:rFonts w:ascii="Gill Sans MT Std Light" w:hAnsi="Gill Sans MT Std Light"/>
        </w:rPr>
        <w:br/>
      </w:r>
      <w:r>
        <w:rPr>
          <w:rFonts w:ascii="Gill Sans MT Std Light" w:hAnsi="Gill Sans MT Std Light"/>
        </w:rPr>
        <w:br/>
      </w:r>
      <w:r w:rsidRPr="0011470E">
        <w:rPr>
          <w:rFonts w:ascii="Gill Sans MT Std Light" w:hAnsi="Gill Sans MT Std Light"/>
          <w:b/>
          <w:bCs/>
          <w:sz w:val="28"/>
          <w:szCs w:val="28"/>
        </w:rPr>
        <w:t xml:space="preserve">There are </w:t>
      </w:r>
      <w:r w:rsidRPr="0011470E" w:rsidR="003C6855">
        <w:rPr>
          <w:rFonts w:ascii="Gill Sans MT Std Light" w:hAnsi="Gill Sans MT Std Light"/>
          <w:b/>
          <w:bCs/>
          <w:sz w:val="28"/>
          <w:szCs w:val="28"/>
        </w:rPr>
        <w:t>several</w:t>
      </w:r>
      <w:r w:rsidRPr="0011470E">
        <w:rPr>
          <w:rFonts w:ascii="Gill Sans MT Std Light" w:hAnsi="Gill Sans MT Std Light"/>
          <w:b/>
          <w:bCs/>
          <w:sz w:val="28"/>
          <w:szCs w:val="28"/>
        </w:rPr>
        <w:t xml:space="preserve"> </w:t>
      </w:r>
      <w:r w:rsidR="003C6855">
        <w:rPr>
          <w:rFonts w:ascii="Gill Sans MT Std Light" w:hAnsi="Gill Sans MT Std Light"/>
          <w:b/>
          <w:bCs/>
          <w:sz w:val="28"/>
          <w:szCs w:val="28"/>
        </w:rPr>
        <w:t>considerations for</w:t>
      </w:r>
      <w:r w:rsidRPr="0011470E">
        <w:rPr>
          <w:rFonts w:ascii="Gill Sans MT Std Light" w:hAnsi="Gill Sans MT Std Light"/>
          <w:b/>
          <w:bCs/>
          <w:sz w:val="28"/>
          <w:szCs w:val="28"/>
        </w:rPr>
        <w:t xml:space="preserve"> pre-Year 11 study of a TASC</w:t>
      </w:r>
      <w:r w:rsidR="003C6855">
        <w:rPr>
          <w:rFonts w:ascii="Gill Sans MT Std Light" w:hAnsi="Gill Sans MT Std Light"/>
          <w:b/>
          <w:bCs/>
          <w:sz w:val="28"/>
          <w:szCs w:val="28"/>
        </w:rPr>
        <w:t xml:space="preserve"> Level 3</w:t>
      </w:r>
      <w:r w:rsidRPr="0011470E">
        <w:rPr>
          <w:rFonts w:ascii="Gill Sans MT Std Light" w:hAnsi="Gill Sans MT Std Light"/>
          <w:b/>
          <w:bCs/>
          <w:sz w:val="28"/>
          <w:szCs w:val="28"/>
        </w:rPr>
        <w:t xml:space="preserve"> course outlined below:</w:t>
      </w:r>
      <w:r w:rsidRPr="0011470E">
        <w:rPr>
          <w:rFonts w:ascii="Gill Sans MT Std Light" w:hAnsi="Gill Sans MT Std Light"/>
          <w:sz w:val="28"/>
          <w:szCs w:val="28"/>
        </w:rPr>
        <w:t xml:space="preserve"> </w:t>
      </w:r>
    </w:p>
    <w:p w:rsidRPr="00DA0D17" w:rsidR="002D48C4" w:rsidP="002D48C4" w:rsidRDefault="002D48C4" w14:paraId="60DC99B0" w14:textId="77777777">
      <w:pPr>
        <w:rPr>
          <w:rFonts w:ascii="Gill Sans MT Std Light" w:hAnsi="Gill Sans MT Std Light"/>
          <w:sz w:val="24"/>
          <w:szCs w:val="24"/>
        </w:rPr>
      </w:pPr>
      <w:r w:rsidRPr="00DA0D17">
        <w:rPr>
          <w:rFonts w:ascii="Gill Sans MT Std Light" w:hAnsi="Gill Sans MT Std Light"/>
          <w:b/>
          <w:bCs/>
          <w:sz w:val="24"/>
          <w:szCs w:val="24"/>
        </w:rPr>
        <w:t>Senior secondary education</w:t>
      </w:r>
    </w:p>
    <w:p w:rsidRPr="0071537B" w:rsidR="002D48C4" w:rsidP="002D48C4" w:rsidRDefault="002163BF" w14:paraId="0A00E8B5" w14:textId="77777777">
      <w:pPr>
        <w:pStyle w:val="ListParagraph"/>
        <w:numPr>
          <w:ilvl w:val="0"/>
          <w:numId w:val="3"/>
        </w:numPr>
        <w:spacing w:before="120" w:after="120"/>
        <w:rPr>
          <w:rStyle w:val="Hyperlink"/>
          <w:rFonts w:ascii="Gill Sans MT Std Light" w:hAnsi="Gill Sans MT Std Light"/>
          <w:b/>
          <w:bCs/>
          <w:color w:val="auto"/>
          <w:u w:val="none"/>
        </w:rPr>
      </w:pPr>
      <w:hyperlink w:history="1" r:id="rId11">
        <w:r w:rsidRPr="0071537B" w:rsidR="002D48C4">
          <w:rPr>
            <w:rStyle w:val="Hyperlink"/>
            <w:rFonts w:ascii="Gill Sans MT Std Light" w:hAnsi="Gill Sans MT Std Light"/>
            <w:b/>
            <w:bCs/>
          </w:rPr>
          <w:t>Tasmanian Certificate of Education</w:t>
        </w:r>
      </w:hyperlink>
      <w:r w:rsidRPr="0071537B" w:rsidR="002D48C4">
        <w:rPr>
          <w:rStyle w:val="Hyperlink"/>
          <w:rFonts w:ascii="Gill Sans MT Std Light" w:hAnsi="Gill Sans MT Std Light"/>
          <w:b/>
          <w:bCs/>
        </w:rPr>
        <w:t xml:space="preserve">: </w:t>
      </w:r>
    </w:p>
    <w:p w:rsidRPr="000C79E3" w:rsidR="002D48C4" w:rsidP="002D48C4" w:rsidRDefault="002D48C4" w14:paraId="5FEC0D37" w14:textId="780F8159">
      <w:pPr>
        <w:pStyle w:val="ListParagraph"/>
        <w:spacing w:before="120" w:after="120"/>
        <w:rPr>
          <w:rFonts w:ascii="Gill Sans MT Std Light" w:hAnsi="Gill Sans MT Std Light"/>
        </w:rPr>
      </w:pPr>
      <w:r w:rsidRPr="000C79E3">
        <w:rPr>
          <w:rFonts w:ascii="Gill Sans MT Std Light" w:hAnsi="Gill Sans MT Std Light" w:cs="Open Sans"/>
          <w:color w:val="292B2C"/>
        </w:rPr>
        <w:t>To achieve the </w:t>
      </w:r>
      <w:r w:rsidRPr="000C79E3">
        <w:rPr>
          <w:rStyle w:val="Strong"/>
          <w:rFonts w:ascii="Gill Sans MT Std Light" w:hAnsi="Gill Sans MT Std Light" w:cs="Open Sans"/>
          <w:color w:val="292B2C"/>
        </w:rPr>
        <w:t>TCE</w:t>
      </w:r>
      <w:r w:rsidRPr="000C79E3">
        <w:rPr>
          <w:rFonts w:ascii="Gill Sans MT Std Light" w:hAnsi="Gill Sans MT Std Light" w:cs="Open Sans"/>
          <w:color w:val="292B2C"/>
        </w:rPr>
        <w:t xml:space="preserve">, </w:t>
      </w:r>
      <w:r w:rsidR="004B4F65">
        <w:rPr>
          <w:rFonts w:ascii="Gill Sans MT Std Light" w:hAnsi="Gill Sans MT Std Light" w:cs="Open Sans"/>
          <w:color w:val="292B2C"/>
        </w:rPr>
        <w:t xml:space="preserve">a student must </w:t>
      </w:r>
      <w:r w:rsidRPr="000C79E3">
        <w:rPr>
          <w:rFonts w:ascii="Gill Sans MT Std Light" w:hAnsi="Gill Sans MT Std Light" w:cs="Open Sans"/>
          <w:color w:val="292B2C"/>
        </w:rPr>
        <w:t>meet all of the </w:t>
      </w:r>
      <w:r w:rsidRPr="000C79E3">
        <w:rPr>
          <w:rStyle w:val="Strong"/>
          <w:rFonts w:ascii="Gill Sans MT Std Light" w:hAnsi="Gill Sans MT Std Light" w:cs="Open Sans"/>
          <w:color w:val="292B2C"/>
        </w:rPr>
        <w:t>TCE</w:t>
      </w:r>
      <w:r w:rsidRPr="000C79E3">
        <w:rPr>
          <w:rFonts w:ascii="Gill Sans MT Std Light" w:hAnsi="Gill Sans MT Std Light" w:cs="Open Sans"/>
          <w:color w:val="292B2C"/>
        </w:rPr>
        <w:t> standards:</w:t>
      </w:r>
    </w:p>
    <w:p w:rsidRPr="000C79E3" w:rsidR="002D48C4" w:rsidP="002D48C4" w:rsidRDefault="002D48C4" w14:paraId="7DC3F049" w14:textId="77777777">
      <w:pPr>
        <w:pStyle w:val="ListParagraph"/>
        <w:numPr>
          <w:ilvl w:val="1"/>
          <w:numId w:val="3"/>
        </w:numPr>
        <w:spacing w:before="120" w:after="120"/>
        <w:rPr>
          <w:rFonts w:ascii="Gill Sans MT Std Light" w:hAnsi="Gill Sans MT Std Light"/>
        </w:rPr>
      </w:pPr>
      <w:r w:rsidRPr="000C79E3">
        <w:rPr>
          <w:rStyle w:val="Strong"/>
          <w:rFonts w:ascii="Gill Sans MT Std Light" w:hAnsi="Gill Sans MT Std Light" w:cs="Open Sans"/>
          <w:color w:val="292B2C"/>
        </w:rPr>
        <w:t>Participation and Achievement Standard</w:t>
      </w:r>
      <w:r w:rsidRPr="000C79E3">
        <w:rPr>
          <w:rFonts w:ascii="Gill Sans MT Std Light" w:hAnsi="Gill Sans MT Std Light" w:cs="Open Sans"/>
          <w:color w:val="292B2C"/>
        </w:rPr>
        <w:t>: 120 credit points (with at least 80 credit points in studies at Level 2 or higher).</w:t>
      </w:r>
    </w:p>
    <w:p w:rsidRPr="000C79E3" w:rsidR="002D48C4" w:rsidP="002D48C4" w:rsidRDefault="002D48C4" w14:paraId="60E623A4" w14:textId="77777777">
      <w:pPr>
        <w:pStyle w:val="ListParagraph"/>
        <w:numPr>
          <w:ilvl w:val="1"/>
          <w:numId w:val="3"/>
        </w:numPr>
        <w:spacing w:before="120" w:after="120"/>
        <w:rPr>
          <w:rFonts w:ascii="Gill Sans MT Std Light" w:hAnsi="Gill Sans MT Std Light"/>
        </w:rPr>
      </w:pPr>
      <w:r w:rsidRPr="000C79E3">
        <w:rPr>
          <w:rStyle w:val="Strong"/>
          <w:rFonts w:ascii="Gill Sans MT Std Light" w:hAnsi="Gill Sans MT Std Light" w:cs="Open Sans"/>
          <w:color w:val="292B2C"/>
        </w:rPr>
        <w:t>Everyday Adult Standards</w:t>
      </w:r>
      <w:r w:rsidRPr="000C79E3">
        <w:rPr>
          <w:rFonts w:ascii="Gill Sans MT Std Light" w:hAnsi="Gill Sans MT Std Light" w:cs="Open Sans"/>
          <w:color w:val="292B2C"/>
        </w:rPr>
        <w:t>:</w:t>
      </w:r>
    </w:p>
    <w:p w:rsidRPr="000C79E3" w:rsidR="002D48C4" w:rsidP="002D48C4" w:rsidRDefault="002D48C4" w14:paraId="77F245FB" w14:textId="77777777">
      <w:pPr>
        <w:pStyle w:val="ListParagraph"/>
        <w:numPr>
          <w:ilvl w:val="2"/>
          <w:numId w:val="3"/>
        </w:numPr>
        <w:spacing w:before="120" w:after="120"/>
        <w:rPr>
          <w:rFonts w:ascii="Gill Sans MT Std Light" w:hAnsi="Gill Sans MT Std Light"/>
        </w:rPr>
      </w:pPr>
      <w:r w:rsidRPr="000C79E3">
        <w:rPr>
          <w:rFonts w:ascii="Gill Sans MT Std Light" w:hAnsi="Gill Sans MT Std Light" w:cs="Open Sans"/>
          <w:color w:val="292B2C"/>
        </w:rPr>
        <w:t>Reading, Writing and Communication (in English)</w:t>
      </w:r>
    </w:p>
    <w:p w:rsidRPr="000C79E3" w:rsidR="002D48C4" w:rsidP="002D48C4" w:rsidRDefault="002D48C4" w14:paraId="2473B49B" w14:textId="77777777">
      <w:pPr>
        <w:pStyle w:val="ListParagraph"/>
        <w:numPr>
          <w:ilvl w:val="2"/>
          <w:numId w:val="3"/>
        </w:numPr>
        <w:spacing w:before="120" w:after="120"/>
        <w:rPr>
          <w:rFonts w:ascii="Gill Sans MT Std Light" w:hAnsi="Gill Sans MT Std Light"/>
        </w:rPr>
      </w:pPr>
      <w:r w:rsidRPr="000C79E3">
        <w:rPr>
          <w:rFonts w:ascii="Gill Sans MT Std Light" w:hAnsi="Gill Sans MT Std Light" w:cs="Open Sans"/>
          <w:color w:val="292B2C"/>
        </w:rPr>
        <w:t>Mathematics</w:t>
      </w:r>
    </w:p>
    <w:p w:rsidRPr="000C79E3" w:rsidR="002D48C4" w:rsidP="002D48C4" w:rsidRDefault="002163BF" w14:paraId="05E4730E" w14:textId="77777777">
      <w:pPr>
        <w:pStyle w:val="ListParagraph"/>
        <w:numPr>
          <w:ilvl w:val="2"/>
          <w:numId w:val="3"/>
        </w:numPr>
        <w:spacing w:before="120" w:after="120"/>
        <w:rPr>
          <w:rFonts w:ascii="Gill Sans MT Std Light" w:hAnsi="Gill Sans MT Std Light"/>
        </w:rPr>
      </w:pPr>
      <w:hyperlink w:tgtFrame="_blank" w:history="1" r:id="rId12">
        <w:r w:rsidRPr="000C79E3" w:rsidR="002D48C4">
          <w:rPr>
            <w:rStyle w:val="Hyperlink"/>
            <w:rFonts w:ascii="Gill Sans MT Std Light" w:hAnsi="Gill Sans MT Std Light" w:cs="Open Sans"/>
            <w:color w:val="0275D8"/>
          </w:rPr>
          <w:t>Use of Computers and the Internet</w:t>
        </w:r>
      </w:hyperlink>
      <w:r w:rsidRPr="000C79E3" w:rsidR="002D48C4">
        <w:rPr>
          <w:rFonts w:ascii="Gill Sans MT Std Light" w:hAnsi="Gill Sans MT Std Light" w:cs="Open Sans"/>
          <w:color w:val="292B2C"/>
        </w:rPr>
        <w:t>.</w:t>
      </w:r>
      <w:r w:rsidRPr="000C79E3" w:rsidR="002D48C4">
        <w:rPr>
          <w:rFonts w:ascii="Gill Sans MT Std Light" w:hAnsi="Gill Sans MT Std Light" w:cs="Open Sans"/>
          <w:color w:val="292B2C"/>
        </w:rPr>
        <w:br/>
      </w:r>
    </w:p>
    <w:p w:rsidR="002D48C4" w:rsidP="002D48C4" w:rsidRDefault="002D48C4" w14:paraId="281EA446" w14:textId="77777777">
      <w:pPr>
        <w:pStyle w:val="ListParagraph"/>
        <w:numPr>
          <w:ilvl w:val="1"/>
          <w:numId w:val="3"/>
        </w:numPr>
        <w:spacing w:before="120" w:after="120"/>
        <w:rPr>
          <w:rFonts w:ascii="Gill Sans MT Std Light" w:hAnsi="Gill Sans MT Std Light"/>
        </w:rPr>
      </w:pPr>
      <w:r w:rsidRPr="002E3A65">
        <w:rPr>
          <w:rFonts w:ascii="Gill Sans MT Std Light" w:hAnsi="Gill Sans MT Std Light"/>
        </w:rPr>
        <w:t>Students who achieve Preliminary Achievement (PA) or higher in a TASC course will be awarded the associated TCE participation points.</w:t>
      </w:r>
      <w:r>
        <w:rPr>
          <w:rFonts w:ascii="Gill Sans MT Std Light" w:hAnsi="Gill Sans MT Std Light"/>
        </w:rPr>
        <w:br/>
      </w:r>
    </w:p>
    <w:p w:rsidRPr="002E3A65" w:rsidR="002D48C4" w:rsidP="002D48C4" w:rsidRDefault="002D48C4" w14:paraId="3A90D025" w14:textId="77777777">
      <w:pPr>
        <w:pStyle w:val="ListParagraph"/>
        <w:numPr>
          <w:ilvl w:val="1"/>
          <w:numId w:val="3"/>
        </w:numPr>
        <w:spacing w:before="120" w:after="120"/>
        <w:rPr>
          <w:rFonts w:ascii="Gill Sans MT Std Light" w:hAnsi="Gill Sans MT Std Light"/>
        </w:rPr>
      </w:pPr>
      <w:r w:rsidRPr="002E3A65">
        <w:rPr>
          <w:rFonts w:ascii="Gill Sans MT Std Light" w:hAnsi="Gill Sans MT Std Light"/>
        </w:rPr>
        <w:t xml:space="preserve">Students who achieve a Satisfactory Achievement (SA) or higher will be awarded the associated Everyday Adult Standard (where relevant).  </w:t>
      </w:r>
      <w:r>
        <w:rPr>
          <w:rFonts w:ascii="Gill Sans MT Std Light" w:hAnsi="Gill Sans MT Std Light"/>
        </w:rPr>
        <w:br/>
      </w:r>
    </w:p>
    <w:p w:rsidR="002D48C4" w:rsidP="002D48C4" w:rsidRDefault="002D48C4" w14:paraId="608DF68D" w14:textId="5C0070EB">
      <w:pPr>
        <w:pStyle w:val="ListParagraph"/>
        <w:numPr>
          <w:ilvl w:val="0"/>
          <w:numId w:val="3"/>
        </w:numPr>
        <w:spacing w:before="120" w:after="120"/>
        <w:rPr>
          <w:rFonts w:ascii="Gill Sans MT Std Light" w:hAnsi="Gill Sans MT Std Light"/>
        </w:rPr>
      </w:pPr>
      <w:r w:rsidRPr="000C79E3">
        <w:rPr>
          <w:rFonts w:ascii="Gill Sans MT Std Light" w:hAnsi="Gill Sans MT Std Light"/>
          <w:b/>
          <w:bCs/>
        </w:rPr>
        <w:t>Student pathways:</w:t>
      </w:r>
      <w:r>
        <w:rPr>
          <w:rFonts w:ascii="Gill Sans MT Std Light" w:hAnsi="Gill Sans MT Std Light"/>
        </w:rPr>
        <w:t xml:space="preserve"> </w:t>
      </w:r>
      <w:r>
        <w:rPr>
          <w:rFonts w:ascii="Gill Sans MT Std Light" w:hAnsi="Gill Sans MT Std Light"/>
        </w:rPr>
        <w:br/>
      </w:r>
      <w:r>
        <w:rPr>
          <w:rFonts w:ascii="Gill Sans MT Std Light" w:hAnsi="Gill Sans MT Std Light"/>
        </w:rPr>
        <w:t>All students should consider the p</w:t>
      </w:r>
      <w:r w:rsidRPr="00B41FD6">
        <w:rPr>
          <w:rFonts w:ascii="Gill Sans MT Std Light" w:hAnsi="Gill Sans MT Std Light"/>
        </w:rPr>
        <w:t xml:space="preserve">athways </w:t>
      </w:r>
      <w:r>
        <w:rPr>
          <w:rFonts w:ascii="Gill Sans MT Std Light" w:hAnsi="Gill Sans MT Std Light"/>
        </w:rPr>
        <w:t>towards</w:t>
      </w:r>
      <w:r w:rsidRPr="00B41FD6">
        <w:rPr>
          <w:rFonts w:ascii="Gill Sans MT Std Light" w:hAnsi="Gill Sans MT Std Light"/>
        </w:rPr>
        <w:t xml:space="preserve"> Years 11 and 12 relevant to the TASC-accredited course the intend to </w:t>
      </w:r>
      <w:r>
        <w:rPr>
          <w:rFonts w:ascii="Gill Sans MT Std Light" w:hAnsi="Gill Sans MT Std Light"/>
        </w:rPr>
        <w:t xml:space="preserve">be </w:t>
      </w:r>
      <w:r w:rsidRPr="00B41FD6">
        <w:rPr>
          <w:rFonts w:ascii="Gill Sans MT Std Light" w:hAnsi="Gill Sans MT Std Light"/>
        </w:rPr>
        <w:t>undertake prior to Year 11.</w:t>
      </w:r>
      <w:r>
        <w:rPr>
          <w:rFonts w:ascii="Gill Sans MT Std Light" w:hAnsi="Gill Sans MT Std Light"/>
        </w:rPr>
        <w:t xml:space="preserve"> </w:t>
      </w:r>
      <w:r w:rsidRPr="003255D9">
        <w:rPr>
          <w:rFonts w:ascii="Gill Sans MT Std Light" w:hAnsi="Gill Sans MT Std Light"/>
          <w:highlight w:val="yellow"/>
        </w:rPr>
        <w:t>For example</w:t>
      </w:r>
      <w:r>
        <w:rPr>
          <w:rFonts w:ascii="Gill Sans MT Std Light" w:hAnsi="Gill Sans MT Std Light"/>
        </w:rPr>
        <w:t>, a pre-Year 11 enrolment in Math</w:t>
      </w:r>
      <w:r w:rsidR="0076006A">
        <w:rPr>
          <w:rFonts w:ascii="Gill Sans MT Std Light" w:hAnsi="Gill Sans MT Std Light"/>
        </w:rPr>
        <w:t>ematics</w:t>
      </w:r>
      <w:r>
        <w:rPr>
          <w:rFonts w:ascii="Gill Sans MT Std Light" w:hAnsi="Gill Sans MT Std Light"/>
        </w:rPr>
        <w:t xml:space="preserve"> Methods – Foundation - MTM315117 indicates an intention to enrol in Math</w:t>
      </w:r>
      <w:r w:rsidR="004C4CF4">
        <w:rPr>
          <w:rFonts w:ascii="Gill Sans MT Std Light" w:hAnsi="Gill Sans MT Std Light"/>
        </w:rPr>
        <w:t>ematics</w:t>
      </w:r>
      <w:r>
        <w:rPr>
          <w:rFonts w:ascii="Gill Sans MT Std Light" w:hAnsi="Gill Sans MT Std Light"/>
        </w:rPr>
        <w:t xml:space="preserve"> Methods – MTM415117 in Year 11. </w:t>
      </w:r>
      <w:r>
        <w:rPr>
          <w:rFonts w:ascii="Gill Sans MT Std Light" w:hAnsi="Gill Sans MT Std Light"/>
        </w:rPr>
        <w:br/>
      </w:r>
    </w:p>
    <w:p w:rsidRPr="000C79E3" w:rsidR="002D48C4" w:rsidP="002D48C4" w:rsidRDefault="002D48C4" w14:paraId="41387AA1" w14:textId="44353B8F">
      <w:pPr>
        <w:pStyle w:val="ListParagraph"/>
        <w:numPr>
          <w:ilvl w:val="0"/>
          <w:numId w:val="3"/>
        </w:numPr>
        <w:rPr>
          <w:rStyle w:val="Hyperlink"/>
          <w:color w:val="auto"/>
          <w:u w:val="none"/>
        </w:rPr>
      </w:pPr>
      <w:r w:rsidRPr="000C79E3">
        <w:rPr>
          <w:rFonts w:ascii="Gill Sans MT Std Light" w:hAnsi="Gill Sans MT Std Light"/>
          <w:b/>
          <w:bCs/>
        </w:rPr>
        <w:t>Level of complexity of TASC courses:</w:t>
      </w:r>
      <w:r w:rsidRPr="000C79E3">
        <w:rPr>
          <w:rFonts w:ascii="Gill Sans MT Std Light" w:hAnsi="Gill Sans MT Std Light"/>
        </w:rPr>
        <w:br/>
      </w:r>
      <w:r w:rsidRPr="000C79E3">
        <w:rPr>
          <w:rFonts w:ascii="Gill Sans MT Std Light" w:hAnsi="Gill Sans MT Std Light"/>
        </w:rPr>
        <w:t>TASC assigns senior secondary courses</w:t>
      </w:r>
      <w:r w:rsidRPr="000C79E3">
        <w:rPr>
          <w:rFonts w:ascii="Gill Sans MT Std Light" w:hAnsi="Gill Sans MT Std Light" w:eastAsia="Gill Sans MT Std Light" w:cs="Gill Sans MT Std Light"/>
        </w:rPr>
        <w:t xml:space="preserve"> with a complexity level ranging from Level 1 to Level 4 with 4 being the highest level of complexity. </w:t>
      </w:r>
      <w:r>
        <w:rPr>
          <w:rFonts w:ascii="Gill Sans MT Std Light" w:hAnsi="Gill Sans MT Std Light" w:eastAsia="Gill Sans MT Std Light" w:cs="Gill Sans MT Std Light"/>
        </w:rPr>
        <w:br/>
      </w:r>
      <w:r>
        <w:rPr>
          <w:rFonts w:ascii="Gill Sans MT Std Light" w:hAnsi="Gill Sans MT Std Light" w:eastAsia="Gill Sans MT Std Light" w:cs="Gill Sans MT Std Light"/>
        </w:rPr>
        <w:br/>
      </w:r>
      <w:r w:rsidRPr="000C79E3">
        <w:rPr>
          <w:rFonts w:ascii="Gill Sans MT Std Light" w:hAnsi="Gill Sans MT Std Light" w:eastAsia="Gill Sans MT Std Light" w:cs="Gill Sans MT Std Light"/>
        </w:rPr>
        <w:t xml:space="preserve">The </w:t>
      </w:r>
      <w:r w:rsidR="004C4CF4">
        <w:rPr>
          <w:rFonts w:ascii="Gill Sans MT Std Light" w:hAnsi="Gill Sans MT Std Light" w:eastAsia="Gill Sans MT Std Light" w:cs="Gill Sans MT Std Light"/>
        </w:rPr>
        <w:t xml:space="preserve">TASC </w:t>
      </w:r>
      <w:r w:rsidRPr="000C79E3">
        <w:rPr>
          <w:rFonts w:ascii="Gill Sans MT Std Light" w:hAnsi="Gill Sans MT Std Light" w:eastAsia="Gill Sans MT Std Light" w:cs="Gill Sans MT Std Light"/>
        </w:rPr>
        <w:t xml:space="preserve">levels of complexity for Level 1 to Level 4 are </w:t>
      </w:r>
      <w:r w:rsidR="004C4CF4">
        <w:rPr>
          <w:rFonts w:ascii="Gill Sans MT Std Light" w:hAnsi="Gill Sans MT Std Light" w:eastAsia="Gill Sans MT Std Light" w:cs="Gill Sans MT Std Light"/>
        </w:rPr>
        <w:t>equivalent to those of</w:t>
      </w:r>
      <w:r w:rsidRPr="000C79E3">
        <w:rPr>
          <w:rFonts w:ascii="Gill Sans MT Std Light" w:hAnsi="Gill Sans MT Std Light" w:eastAsia="Gill Sans MT Std Light" w:cs="Gill Sans MT Std Light"/>
        </w:rPr>
        <w:t xml:space="preserve"> </w:t>
      </w:r>
      <w:hyperlink r:id="rId13">
        <w:r w:rsidRPr="000C79E3">
          <w:rPr>
            <w:rStyle w:val="Hyperlink"/>
            <w:rFonts w:ascii="Gill Sans MT Std Light" w:hAnsi="Gill Sans MT Std Light" w:eastAsia="Gill Sans MT Std Light" w:cs="Gill Sans MT Std Light"/>
          </w:rPr>
          <w:t>Australian Qualifications Framework (AQF)</w:t>
        </w:r>
      </w:hyperlink>
      <w:r w:rsidRPr="000C79E3">
        <w:rPr>
          <w:rFonts w:ascii="Gill Sans MT Std Light" w:hAnsi="Gill Sans MT Std Light" w:eastAsia="Gill Sans MT Std Light" w:cs="Gill Sans MT Std Light"/>
        </w:rPr>
        <w:t xml:space="preserve">. </w:t>
      </w:r>
      <w:r>
        <w:rPr>
          <w:rFonts w:ascii="Gill Sans MT Std Light" w:hAnsi="Gill Sans MT Std Light" w:eastAsia="Gill Sans MT Std Light" w:cs="Gill Sans MT Std Light"/>
        </w:rPr>
        <w:br/>
      </w:r>
      <w:r w:rsidRPr="000C79E3">
        <w:rPr>
          <w:rFonts w:ascii="Gill Sans MT Std Light" w:hAnsi="Gill Sans MT Std Light" w:eastAsia="Gill Sans MT Std Light" w:cs="Gill Sans MT Std Light"/>
        </w:rPr>
        <w:t xml:space="preserve">The AQF is the national policy for regulated qualifications in Australian education and training. It incorporates the </w:t>
      </w:r>
      <w:r w:rsidRPr="000C79E3">
        <w:rPr>
          <w:rFonts w:ascii="Gill Sans MT Std Light" w:hAnsi="Gill Sans MT Std Light" w:eastAsia="Gill Sans MT Std Light" w:cs="Gill Sans MT Std Light"/>
        </w:rPr>
        <w:lastRenderedPageBreak/>
        <w:t xml:space="preserve">qualifications from each education and training sector into a single comprehensive national qualifications framework. </w:t>
      </w:r>
      <w:r>
        <w:rPr>
          <w:rFonts w:ascii="Gill Sans MT Std Light" w:hAnsi="Gill Sans MT Std Light" w:eastAsia="Gill Sans MT Std Light" w:cs="Gill Sans MT Std Light"/>
        </w:rPr>
        <w:br/>
      </w:r>
      <w:r>
        <w:rPr>
          <w:rFonts w:ascii="Gill Sans MT Std Light" w:hAnsi="Gill Sans MT Std Light" w:eastAsia="Gill Sans MT Std Light" w:cs="Gill Sans MT Std Light"/>
        </w:rPr>
        <w:br/>
      </w:r>
      <w:r w:rsidRPr="000C79E3">
        <w:rPr>
          <w:rFonts w:ascii="Gill Sans MT Std Light" w:hAnsi="Gill Sans MT Std Light" w:eastAsia="Gill Sans MT Std Light" w:cs="Gill Sans MT Std Light"/>
        </w:rPr>
        <w:t>The</w:t>
      </w:r>
      <w:r w:rsidRPr="004C323D">
        <w:rPr>
          <w:rFonts w:ascii="Gill Sans MT Std Light" w:hAnsi="Gill Sans MT Std Light" w:eastAsia="Gill Sans MT Std Light" w:cs="Gill Sans MT Std Light"/>
        </w:rPr>
        <w:t xml:space="preserve"> Tasmanian Certificate of Education Everyday Adult Standards</w:t>
      </w:r>
      <w:r w:rsidRPr="000C79E3">
        <w:rPr>
          <w:rFonts w:ascii="Gill Sans MT Std Light" w:hAnsi="Gill Sans MT Std Light" w:eastAsia="Gill Sans MT Std Light" w:cs="Gill Sans MT Std Light"/>
        </w:rPr>
        <w:t xml:space="preserve"> align with </w:t>
      </w:r>
      <w:hyperlink r:id="rId14">
        <w:r w:rsidRPr="000C79E3">
          <w:rPr>
            <w:rStyle w:val="Hyperlink"/>
            <w:rFonts w:ascii="Gill Sans MT Std Light" w:hAnsi="Gill Sans MT Std Light" w:eastAsia="Gill Sans MT Std Light" w:cs="Gill Sans MT Std Light"/>
          </w:rPr>
          <w:t>the Australian Core Skills Framework.</w:t>
        </w:r>
      </w:hyperlink>
    </w:p>
    <w:p w:rsidR="002D48C4" w:rsidP="002D48C4" w:rsidRDefault="002D48C4" w14:paraId="2EC5528C" w14:textId="77777777">
      <w:pPr>
        <w:pStyle w:val="ListParagraph"/>
        <w:rPr>
          <w:rFonts w:ascii="Gill Sans MT Std Light" w:hAnsi="Gill Sans MT Std Light" w:eastAsia="Gill Sans MT Std Light" w:cs="Gill Sans MT Std Light"/>
          <w:b/>
          <w:bCs/>
        </w:rPr>
      </w:pPr>
      <w:r w:rsidRPr="000C79E3">
        <w:rPr>
          <w:rFonts w:ascii="Gill Sans MT Std Light" w:hAnsi="Gill Sans MT Std Light" w:eastAsia="Gill Sans MT Std Light" w:cs="Gill Sans MT Std Light"/>
          <w:b/>
          <w:bCs/>
        </w:rPr>
        <w:t xml:space="preserve">Level of complexity in TASC courses: </w:t>
      </w:r>
    </w:p>
    <w:p w:rsidRPr="000C79E3" w:rsidR="002D48C4" w:rsidP="002D48C4" w:rsidRDefault="002D48C4" w14:paraId="62FC9974" w14:textId="77777777">
      <w:pPr>
        <w:pStyle w:val="ListParagraph"/>
        <w:numPr>
          <w:ilvl w:val="1"/>
          <w:numId w:val="3"/>
        </w:numPr>
        <w:rPr>
          <w:rFonts w:ascii="Gill Sans MT Std Light" w:hAnsi="Gill Sans MT Std Light" w:eastAsia="Gill Sans MT Std Light" w:cs="Gill Sans MT Std Light"/>
          <w:b/>
          <w:bCs/>
        </w:rPr>
      </w:pPr>
      <w:r w:rsidRPr="485B799C">
        <w:rPr>
          <w:rFonts w:ascii="Gill Sans MT Std Light" w:hAnsi="Gill Sans MT Std Light" w:eastAsia="Gill Sans MT Std Light" w:cs="Gill Sans MT Std Light"/>
        </w:rPr>
        <w:t xml:space="preserve">TASC Level 2 courses map to Australian Qualification Framework Level 2 and Australian Core Skills Framework Level </w:t>
      </w:r>
      <w:r>
        <w:rPr>
          <w:rFonts w:ascii="Gill Sans MT Std Light" w:hAnsi="Gill Sans MT Std Light" w:eastAsia="Gill Sans MT Std Light" w:cs="Gill Sans MT Std Light"/>
        </w:rPr>
        <w:t>3</w:t>
      </w:r>
    </w:p>
    <w:p w:rsidRPr="000C79E3" w:rsidR="002D48C4" w:rsidP="004C4CF4" w:rsidRDefault="002D48C4" w14:paraId="6BC33EE6" w14:textId="4857DBC0">
      <w:pPr>
        <w:pStyle w:val="ListParagraph"/>
        <w:numPr>
          <w:ilvl w:val="1"/>
          <w:numId w:val="3"/>
        </w:numPr>
        <w:rPr>
          <w:rFonts w:ascii="Gill Sans MT Std Light" w:hAnsi="Gill Sans MT Std Light"/>
        </w:rPr>
      </w:pPr>
      <w:r w:rsidRPr="000C79E3">
        <w:rPr>
          <w:rFonts w:ascii="Gill Sans MT Std Light" w:hAnsi="Gill Sans MT Std Light" w:eastAsia="Gill Sans MT Std Light" w:cs="Gill Sans MT Std Light"/>
        </w:rPr>
        <w:t xml:space="preserve">TASC Level 3 courses map to Australian Qualifications Framework Level 3 and Australian Core skills </w:t>
      </w:r>
      <w:r w:rsidR="004C4CF4">
        <w:rPr>
          <w:rFonts w:ascii="Gill Sans MT Std Light" w:hAnsi="Gill Sans MT Std Light" w:eastAsia="Gill Sans MT Std Light" w:cs="Gill Sans MT Std Light"/>
        </w:rPr>
        <w:br/>
      </w:r>
    </w:p>
    <w:p w:rsidRPr="0051376F" w:rsidR="005703E0" w:rsidP="0051376F" w:rsidRDefault="002163BF" w14:paraId="36B6342B" w14:textId="13E84E7B">
      <w:pPr>
        <w:pStyle w:val="ListParagraph"/>
        <w:numPr>
          <w:ilvl w:val="0"/>
          <w:numId w:val="3"/>
        </w:numPr>
        <w:spacing w:before="120" w:after="120"/>
        <w:rPr>
          <w:rFonts w:ascii="Gill Sans MT Std Light" w:hAnsi="Gill Sans MT Std Light"/>
        </w:rPr>
      </w:pPr>
      <w:hyperlink w:history="1" r:id="rId15">
        <w:r w:rsidRPr="00B41FD6" w:rsidR="002D48C4">
          <w:rPr>
            <w:rStyle w:val="Hyperlink"/>
            <w:rFonts w:ascii="Gill Sans MT Std Light" w:hAnsi="Gill Sans MT Std Light"/>
          </w:rPr>
          <w:t>Academic integrity</w:t>
        </w:r>
      </w:hyperlink>
      <w:r w:rsidRPr="00B41FD6" w:rsidR="002D48C4">
        <w:rPr>
          <w:rFonts w:ascii="Gill Sans MT Std Light" w:hAnsi="Gill Sans MT Std Light"/>
        </w:rPr>
        <w:t xml:space="preserve"> responsibilities and expectations</w:t>
      </w:r>
      <w:r w:rsidR="002D48C4">
        <w:rPr>
          <w:rFonts w:ascii="Gill Sans MT Std Light" w:hAnsi="Gill Sans MT Std Light"/>
        </w:rPr>
        <w:t xml:space="preserve"> continue throughout senior secondary education. The </w:t>
      </w:r>
      <w:hyperlink w:history="1" r:id="rId16">
        <w:r w:rsidRPr="0011466F" w:rsidR="002D48C4">
          <w:rPr>
            <w:rStyle w:val="Hyperlink"/>
            <w:rFonts w:ascii="Gill Sans MT Std Light" w:hAnsi="Gill Sans MT Std Light"/>
          </w:rPr>
          <w:t>TASC website provides resources for students</w:t>
        </w:r>
      </w:hyperlink>
      <w:r w:rsidR="002D48C4">
        <w:rPr>
          <w:rFonts w:ascii="Gill Sans MT Std Light" w:hAnsi="Gill Sans MT Std Light"/>
        </w:rPr>
        <w:t xml:space="preserve"> in relation to demonstrating academic integrity. All TASC courses assess students’ approach to demonstrating academic integrity.</w:t>
      </w:r>
    </w:p>
    <w:p w:rsidRPr="00074CA9" w:rsidR="002D48C4" w:rsidP="002D48C4" w:rsidRDefault="002D48C4" w14:paraId="0A7A0959" w14:textId="77777777">
      <w:pPr>
        <w:rPr>
          <w:rFonts w:ascii="Gill Sans MT Std Light" w:hAnsi="Gill Sans MT Std Light"/>
          <w:b/>
          <w:bCs/>
          <w:sz w:val="24"/>
          <w:szCs w:val="24"/>
        </w:rPr>
      </w:pPr>
      <w:r>
        <w:rPr>
          <w:rFonts w:ascii="Gill Sans MT Std Light" w:hAnsi="Gill Sans MT Std Light"/>
          <w:b/>
          <w:bCs/>
        </w:rPr>
        <w:br/>
      </w:r>
      <w:r w:rsidRPr="00074CA9">
        <w:rPr>
          <w:rFonts w:ascii="Gill Sans MT Std Light" w:hAnsi="Gill Sans MT Std Light"/>
          <w:b/>
          <w:bCs/>
          <w:sz w:val="24"/>
          <w:szCs w:val="24"/>
        </w:rPr>
        <w:t>Assessment and Certification</w:t>
      </w:r>
    </w:p>
    <w:p w:rsidR="00881136" w:rsidP="00881136" w:rsidRDefault="002D48C4" w14:paraId="14144191" w14:textId="77777777">
      <w:pPr>
        <w:pStyle w:val="ListParagraph"/>
        <w:numPr>
          <w:ilvl w:val="0"/>
          <w:numId w:val="5"/>
        </w:numPr>
        <w:spacing w:before="120" w:after="120"/>
        <w:rPr>
          <w:rFonts w:ascii="Gill Sans MT Std Light" w:hAnsi="Gill Sans MT Std Light"/>
        </w:rPr>
      </w:pPr>
      <w:r w:rsidRPr="00074CA9">
        <w:rPr>
          <w:rFonts w:ascii="Gill Sans MT Std Light" w:hAnsi="Gill Sans MT Std Light"/>
          <w:b/>
          <w:bCs/>
        </w:rPr>
        <w:t>Criterion-based assessment:</w:t>
      </w:r>
      <w:r w:rsidRPr="00074CA9">
        <w:rPr>
          <w:rFonts w:ascii="Gill Sans MT Std Light" w:hAnsi="Gill Sans MT Std Light"/>
        </w:rPr>
        <w:t xml:space="preserve"> </w:t>
      </w:r>
    </w:p>
    <w:p w:rsidR="00881136" w:rsidP="00881136" w:rsidRDefault="00881136" w14:paraId="6911FF53" w14:textId="21F72E35">
      <w:pPr>
        <w:pStyle w:val="ListParagraph"/>
        <w:numPr>
          <w:ilvl w:val="1"/>
          <w:numId w:val="5"/>
        </w:numPr>
        <w:spacing w:before="120" w:after="120"/>
        <w:rPr>
          <w:rFonts w:ascii="Gill Sans MT Std Light" w:hAnsi="Gill Sans MT Std Light"/>
        </w:rPr>
      </w:pPr>
      <w:r w:rsidRPr="00881136">
        <w:rPr>
          <w:rFonts w:ascii="Gill Sans MT Std Light" w:hAnsi="Gill Sans MT Std Light"/>
          <w:lang w:val="en-US"/>
        </w:rPr>
        <w:t>Criterion-based assessment is designed to measure student performance against a fixed set of predetermined </w:t>
      </w:r>
      <w:r w:rsidRPr="00881136">
        <w:rPr>
          <w:rFonts w:ascii="Gill Sans MT Std Light" w:hAnsi="Gill Sans MT Std Light"/>
          <w:b/>
          <w:bCs/>
          <w:lang w:val="en-US"/>
        </w:rPr>
        <w:t>criteria</w:t>
      </w:r>
      <w:r w:rsidRPr="00881136">
        <w:rPr>
          <w:rFonts w:ascii="Gill Sans MT Std Light" w:hAnsi="Gill Sans MT Std Light"/>
          <w:lang w:val="en-US"/>
        </w:rPr>
        <w:t> or learning standards—i.e., concise, written descriptions of what students are expected to know and be able to do to demonstrate their learning.</w:t>
      </w:r>
    </w:p>
    <w:p w:rsidRPr="00881136" w:rsidR="002D48C4" w:rsidP="00881136" w:rsidRDefault="002D48C4" w14:paraId="06C54CCA" w14:textId="61DA9969">
      <w:pPr>
        <w:pStyle w:val="ListParagraph"/>
        <w:numPr>
          <w:ilvl w:val="1"/>
          <w:numId w:val="5"/>
        </w:numPr>
        <w:spacing w:before="120" w:after="120"/>
        <w:rPr>
          <w:rFonts w:ascii="Gill Sans MT Std Light" w:hAnsi="Gill Sans MT Std Light"/>
        </w:rPr>
      </w:pPr>
      <w:r w:rsidRPr="00947F5D">
        <w:rPr>
          <w:rFonts w:ascii="Gill Sans MT Std Light" w:hAnsi="Gill Sans MT Std Light"/>
        </w:rPr>
        <w:t>Criterion-based assessment is a form of outcomes assessment that identifies the extent of learner achievement at an appropriate end-point of study.</w:t>
      </w:r>
      <w:r>
        <w:rPr>
          <w:rFonts w:ascii="Gill Sans MT Std Light" w:hAnsi="Gill Sans MT Std Light"/>
        </w:rPr>
        <w:t xml:space="preserve"> </w:t>
      </w:r>
      <w:r w:rsidRPr="00947F5D">
        <w:rPr>
          <w:rFonts w:ascii="Gill Sans MT Std Light" w:hAnsi="Gill Sans MT Std Light"/>
        </w:rPr>
        <w:t xml:space="preserve">Although assessment – as part of the learning program – is continuous, much of it is formative, and is done to help learners identify what they need to do to attain the maximum benefit from their study of the course. </w:t>
      </w:r>
      <w:r>
        <w:rPr>
          <w:rFonts w:ascii="Gill Sans MT Std Light" w:hAnsi="Gill Sans MT Std Light"/>
        </w:rPr>
        <w:t>Students</w:t>
      </w:r>
      <w:r w:rsidR="000F595D">
        <w:rPr>
          <w:rFonts w:ascii="Gill Sans MT Std Light" w:hAnsi="Gill Sans MT Std Light"/>
        </w:rPr>
        <w:t>’</w:t>
      </w:r>
      <w:r>
        <w:rPr>
          <w:rFonts w:ascii="Gill Sans MT Std Light" w:hAnsi="Gill Sans MT Std Light"/>
        </w:rPr>
        <w:t xml:space="preserve"> results will reflect </w:t>
      </w:r>
      <w:r w:rsidRPr="00947F5D">
        <w:rPr>
          <w:rFonts w:ascii="Gill Sans MT Std Light" w:hAnsi="Gill Sans MT Std Light"/>
        </w:rPr>
        <w:t>end-point achievement.</w:t>
      </w:r>
      <w:r w:rsidR="00881136">
        <w:rPr>
          <w:rFonts w:ascii="Gill Sans MT Std Light" w:hAnsi="Gill Sans MT Std Light"/>
        </w:rPr>
        <w:t xml:space="preserve"> </w:t>
      </w:r>
    </w:p>
    <w:p w:rsidR="002D48C4" w:rsidP="002D48C4" w:rsidRDefault="002D48C4" w14:paraId="5A1F905D" w14:textId="77777777">
      <w:pPr>
        <w:pStyle w:val="ListParagraph"/>
        <w:numPr>
          <w:ilvl w:val="1"/>
          <w:numId w:val="5"/>
        </w:numPr>
        <w:spacing w:before="120" w:after="120"/>
        <w:rPr>
          <w:rFonts w:ascii="Gill Sans MT Std Light" w:hAnsi="Gill Sans MT Std Light"/>
        </w:rPr>
      </w:pPr>
      <w:r w:rsidRPr="00DE449B">
        <w:rPr>
          <w:rFonts w:ascii="Gill Sans MT Std Light" w:hAnsi="Gill Sans MT Std Light"/>
        </w:rPr>
        <w:t>The standard of achievement each learner attains on each criterion is recorded as a rating ‘A’, ‘B’, or ‘C’, according to the outcomes specified in the standards section of the course.</w:t>
      </w:r>
    </w:p>
    <w:p w:rsidR="002D48C4" w:rsidP="002D48C4" w:rsidRDefault="002D48C4" w14:paraId="07F2155B" w14:textId="4A682BDA">
      <w:pPr>
        <w:pStyle w:val="ListParagraph"/>
        <w:numPr>
          <w:ilvl w:val="1"/>
          <w:numId w:val="5"/>
        </w:numPr>
        <w:spacing w:before="120" w:after="120"/>
        <w:rPr>
          <w:rFonts w:ascii="Gill Sans MT Std Light" w:hAnsi="Gill Sans MT Std Light"/>
        </w:rPr>
      </w:pPr>
      <w:r w:rsidRPr="00DE449B">
        <w:rPr>
          <w:rFonts w:ascii="Gill Sans MT Std Light" w:hAnsi="Gill Sans MT Std Light"/>
        </w:rPr>
        <w:t xml:space="preserve">A ‘t’ notation </w:t>
      </w:r>
      <w:r w:rsidR="0068498A">
        <w:rPr>
          <w:rFonts w:ascii="Gill Sans MT Std Light" w:hAnsi="Gill Sans MT Std Light"/>
        </w:rPr>
        <w:t xml:space="preserve">is </w:t>
      </w:r>
      <w:r w:rsidRPr="00DE449B">
        <w:rPr>
          <w:rFonts w:ascii="Gill Sans MT Std Light" w:hAnsi="Gill Sans MT Std Light"/>
        </w:rPr>
        <w:t>used where a learner demonstrates any achievement against a criterion less than the standard specified for the ‘C’ rating.</w:t>
      </w:r>
    </w:p>
    <w:p w:rsidR="00F43C65" w:rsidP="002D48C4" w:rsidRDefault="002D48C4" w14:paraId="3435C151" w14:textId="77777777">
      <w:pPr>
        <w:pStyle w:val="ListParagraph"/>
        <w:numPr>
          <w:ilvl w:val="1"/>
          <w:numId w:val="5"/>
        </w:numPr>
        <w:spacing w:before="120" w:after="120"/>
        <w:rPr>
          <w:rFonts w:ascii="Gill Sans MT Std Light" w:hAnsi="Gill Sans MT Std Light"/>
        </w:rPr>
      </w:pPr>
      <w:r w:rsidRPr="00DE449B">
        <w:rPr>
          <w:rFonts w:ascii="Gill Sans MT Std Light" w:hAnsi="Gill Sans MT Std Light"/>
        </w:rPr>
        <w:t>A ‘z’ notation is to be used where a learner provides no evidence of achievement at all.</w:t>
      </w:r>
    </w:p>
    <w:p w:rsidRPr="00AA33EF" w:rsidR="00AA33EF" w:rsidP="00AA33EF" w:rsidRDefault="00F43C65" w14:paraId="72066A98" w14:textId="77777777">
      <w:pPr>
        <w:numPr>
          <w:ilvl w:val="0"/>
          <w:numId w:val="6"/>
        </w:numPr>
        <w:spacing w:before="100" w:beforeAutospacing="1" w:after="100" w:afterAutospacing="1" w:line="240" w:lineRule="auto"/>
        <w:rPr>
          <w:rFonts w:ascii="Times New Roman" w:hAnsi="Times New Roman" w:eastAsia="Times New Roman" w:cs="Times New Roman"/>
          <w:sz w:val="24"/>
          <w:szCs w:val="24"/>
          <w:lang w:eastAsia="en-AU"/>
        </w:rPr>
      </w:pPr>
      <w:r w:rsidRPr="008D5D7E">
        <w:rPr>
          <w:rFonts w:ascii="Gill Sans MT Std Light" w:hAnsi="Gill Sans MT Std Light"/>
          <w:b/>
          <w:bCs/>
        </w:rPr>
        <w:t>External assessment requirements for Level 3 and Level 4 courses</w:t>
      </w:r>
      <w:r w:rsidRPr="008D5D7E" w:rsidR="008D5D7E">
        <w:rPr>
          <w:rFonts w:ascii="Gill Sans MT Std Light" w:hAnsi="Gill Sans MT Std Light"/>
          <w:b/>
          <w:bCs/>
        </w:rPr>
        <w:t>:</w:t>
      </w:r>
      <w:r w:rsidR="008D5D7E">
        <w:rPr>
          <w:rFonts w:ascii="Gill Sans MT Std Light" w:hAnsi="Gill Sans MT Std Light"/>
        </w:rPr>
        <w:t xml:space="preserve"> </w:t>
      </w:r>
    </w:p>
    <w:p w:rsidR="00F3315F" w:rsidP="00AA33EF" w:rsidRDefault="00AA33EF" w14:paraId="242E6D52" w14:textId="77777777">
      <w:pPr>
        <w:numPr>
          <w:ilvl w:val="1"/>
          <w:numId w:val="6"/>
        </w:numPr>
        <w:spacing w:before="100" w:beforeAutospacing="1" w:after="100" w:afterAutospacing="1" w:line="240" w:lineRule="auto"/>
        <w:rPr>
          <w:rFonts w:ascii="Gill Sans MT Std Light" w:hAnsi="Gill Sans MT Std Light" w:eastAsia="Times New Roman" w:cs="Times New Roman"/>
          <w:lang w:eastAsia="en-AU"/>
        </w:rPr>
      </w:pPr>
      <w:r w:rsidRPr="00AA33EF">
        <w:rPr>
          <w:rFonts w:ascii="Gill Sans MT Std Light" w:hAnsi="Gill Sans MT Std Light" w:eastAsia="Times New Roman" w:cs="Times New Roman"/>
          <w:lang w:eastAsia="en-AU"/>
        </w:rPr>
        <w:t xml:space="preserve">Each Level 3 course includes an external assessment. Depending on the course a student may be required to sit a written exam, submit a folio of work, participate in a practical assessment or a combination of these types of assessments.  </w:t>
      </w:r>
    </w:p>
    <w:p w:rsidR="00703155" w:rsidP="00703155" w:rsidRDefault="00F3315F" w14:paraId="0A5C0989" w14:textId="77777777">
      <w:pPr>
        <w:numPr>
          <w:ilvl w:val="1"/>
          <w:numId w:val="6"/>
        </w:numPr>
        <w:spacing w:before="100" w:beforeAutospacing="1" w:after="100" w:afterAutospacing="1" w:line="240" w:lineRule="auto"/>
        <w:rPr>
          <w:rFonts w:ascii="Gill Sans MT Std Light" w:hAnsi="Gill Sans MT Std Light" w:eastAsia="Times New Roman" w:cs="Times New Roman"/>
          <w:lang w:eastAsia="en-AU"/>
        </w:rPr>
      </w:pPr>
      <w:r w:rsidRPr="00F3315F">
        <w:rPr>
          <w:rFonts w:ascii="Gill Sans MT Std Light" w:hAnsi="Gill Sans MT Std Light" w:eastAsia="Times New Roman" w:cs="Times New Roman"/>
          <w:highlight w:val="yellow"/>
          <w:lang w:eastAsia="en-AU"/>
        </w:rPr>
        <w:t>[INESRT External Assessment type for intended course]</w:t>
      </w:r>
      <w:r w:rsidRPr="00F3315F">
        <w:rPr>
          <w:rFonts w:ascii="Gill Sans MT Std Light" w:hAnsi="Gill Sans MT Std Light" w:eastAsia="Times New Roman" w:cs="Times New Roman"/>
          <w:lang w:eastAsia="en-AU"/>
        </w:rPr>
        <w:t xml:space="preserve"> </w:t>
      </w:r>
    </w:p>
    <w:p w:rsidRPr="00703155" w:rsidR="00703155" w:rsidP="00703155" w:rsidRDefault="00703155" w14:paraId="64EB37C6" w14:textId="3A805CAC">
      <w:pPr>
        <w:numPr>
          <w:ilvl w:val="1"/>
          <w:numId w:val="6"/>
        </w:numPr>
        <w:spacing w:before="100" w:beforeAutospacing="1" w:after="100" w:afterAutospacing="1" w:line="240" w:lineRule="auto"/>
        <w:rPr>
          <w:rFonts w:ascii="Gill Sans MT Std Light" w:hAnsi="Gill Sans MT Std Light" w:eastAsia="Times New Roman" w:cs="Times New Roman"/>
          <w:lang w:eastAsia="en-AU"/>
        </w:rPr>
      </w:pPr>
      <w:r>
        <w:rPr>
          <w:rFonts w:ascii="Gill Sans MT Std Light" w:hAnsi="Gill Sans MT Std Light" w:eastAsia="Times New Roman" w:cs="Times New Roman"/>
          <w:lang w:eastAsia="en-AU"/>
        </w:rPr>
        <w:t xml:space="preserve">The </w:t>
      </w:r>
      <w:r w:rsidR="004E15FD">
        <w:rPr>
          <w:rFonts w:ascii="Gill Sans MT Std Light" w:hAnsi="Gill Sans MT Std Light" w:eastAsia="Times New Roman" w:cs="Times New Roman"/>
          <w:lang w:eastAsia="en-AU"/>
        </w:rPr>
        <w:t>external assessmen</w:t>
      </w:r>
      <w:r w:rsidR="00424C0F">
        <w:rPr>
          <w:rFonts w:ascii="Gill Sans MT Std Light" w:hAnsi="Gill Sans MT Std Light" w:eastAsia="Times New Roman" w:cs="Times New Roman"/>
          <w:lang w:eastAsia="en-AU"/>
        </w:rPr>
        <w:t xml:space="preserve">t </w:t>
      </w:r>
      <w:r w:rsidR="00F2460A">
        <w:rPr>
          <w:rFonts w:ascii="Gill Sans MT Std Light" w:hAnsi="Gill Sans MT Std Light" w:eastAsia="Times New Roman" w:cs="Times New Roman"/>
          <w:lang w:eastAsia="en-AU"/>
        </w:rPr>
        <w:t xml:space="preserve">will be undertaken at </w:t>
      </w:r>
      <w:r w:rsidRPr="006255C6" w:rsidR="006255C6">
        <w:rPr>
          <w:rFonts w:ascii="Gill Sans MT Std Light" w:hAnsi="Gill Sans MT Std Light" w:eastAsia="Times New Roman" w:cs="Times New Roman"/>
          <w:highlight w:val="yellow"/>
          <w:lang w:eastAsia="en-AU"/>
        </w:rPr>
        <w:t xml:space="preserve">[INSERT location noting that for some students this </w:t>
      </w:r>
      <w:r w:rsidRPr="006255C6" w:rsidR="006255C6">
        <w:rPr>
          <w:rFonts w:ascii="Gill Sans MT Std Light" w:hAnsi="Gill Sans MT Std Light"/>
          <w:highlight w:val="yellow"/>
        </w:rPr>
        <w:t>may include the requirement to undertake an external assessment at another school or college.]</w:t>
      </w:r>
    </w:p>
    <w:p w:rsidRPr="001C788F" w:rsidR="002D48C4" w:rsidP="001C788F" w:rsidRDefault="002D48C4" w14:paraId="0F7AA64B" w14:textId="2FD83D0E">
      <w:pPr>
        <w:numPr>
          <w:ilvl w:val="0"/>
          <w:numId w:val="3"/>
        </w:numPr>
        <w:spacing w:before="120" w:beforeAutospacing="1" w:after="120" w:afterAutospacing="1" w:line="240" w:lineRule="auto"/>
        <w:rPr>
          <w:rFonts w:ascii="Gill Sans MT Std Light" w:hAnsi="Gill Sans MT Std Light"/>
          <w:b/>
          <w:bCs/>
        </w:rPr>
      </w:pPr>
      <w:r w:rsidRPr="00703155">
        <w:rPr>
          <w:rFonts w:ascii="Gill Sans MT Std Light" w:hAnsi="Gill Sans MT Std Light"/>
          <w:b/>
          <w:bCs/>
        </w:rPr>
        <w:t xml:space="preserve">Award requirements: </w:t>
      </w:r>
      <w:r w:rsidR="006255C6">
        <w:rPr>
          <w:rFonts w:ascii="Gill Sans MT Std Light" w:hAnsi="Gill Sans MT Std Light"/>
          <w:b/>
          <w:bCs/>
        </w:rPr>
        <w:br/>
      </w:r>
      <w:r w:rsidRPr="006255C6">
        <w:rPr>
          <w:rFonts w:ascii="Gill Sans MT Std Light" w:hAnsi="Gill Sans MT Std Light" w:cs="Open Sans"/>
          <w:color w:val="292B2C"/>
          <w:sz w:val="23"/>
          <w:szCs w:val="23"/>
          <w:shd w:val="clear" w:color="auto" w:fill="FFFFFF"/>
        </w:rPr>
        <w:t xml:space="preserve">The final award will be determined by the Office of Tasmanian Assessment, Standards and Certification from the number of criteria assessed within the course. Each course specifies the number of A-t ratings required at each award. </w:t>
      </w:r>
      <w:r w:rsidR="001C788F">
        <w:rPr>
          <w:rFonts w:ascii="Gill Sans MT Std Light" w:hAnsi="Gill Sans MT Std Light" w:cs="Open Sans"/>
          <w:color w:val="292B2C"/>
          <w:sz w:val="23"/>
          <w:szCs w:val="23"/>
          <w:shd w:val="clear" w:color="auto" w:fill="FFFFFF"/>
        </w:rPr>
        <w:br/>
      </w:r>
      <w:r w:rsidR="008A402A">
        <w:rPr>
          <w:rFonts w:ascii="Gill Sans MT Std Light" w:hAnsi="Gill Sans MT Std Light" w:cs="Open Sans"/>
          <w:color w:val="292B2C"/>
          <w:sz w:val="23"/>
          <w:szCs w:val="23"/>
          <w:shd w:val="clear" w:color="auto" w:fill="FFFFFF"/>
        </w:rPr>
        <w:br/>
      </w:r>
      <w:r w:rsidRPr="00D56328" w:rsidR="008A402A">
        <w:rPr>
          <w:rFonts w:ascii="Gill Sans MT Std Light" w:hAnsi="Gill Sans MT Std Light" w:cs="Open Sans"/>
          <w:color w:val="292B2C"/>
          <w:highlight w:val="yellow"/>
        </w:rPr>
        <w:t>[INSERT Course Specific Award Requirements]</w:t>
      </w:r>
      <w:r w:rsidR="001C788F">
        <w:rPr>
          <w:rFonts w:ascii="Gill Sans MT Std Light" w:hAnsi="Gill Sans MT Std Light"/>
          <w:b/>
          <w:bCs/>
        </w:rPr>
        <w:br/>
      </w:r>
      <w:r w:rsidRPr="001C788F">
        <w:rPr>
          <w:rFonts w:ascii="Gill Sans MT Std Light" w:hAnsi="Gill Sans MT Std Light" w:cs="Open Sans"/>
          <w:color w:val="292B2C"/>
          <w:sz w:val="23"/>
          <w:szCs w:val="23"/>
          <w:shd w:val="clear" w:color="auto" w:fill="FFFFFF"/>
        </w:rPr>
        <w:t xml:space="preserve">Students may be eligible to achieve one of the following awards: </w:t>
      </w:r>
    </w:p>
    <w:p w:rsidRPr="002E3A65" w:rsidR="002D48C4" w:rsidP="002D48C4" w:rsidRDefault="002D48C4" w14:paraId="6F4A53F5" w14:textId="77777777">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Exceptional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EA</w:t>
      </w:r>
      <w:r w:rsidRPr="002E3A65">
        <w:rPr>
          <w:rFonts w:ascii="Gill Sans MT Std Light" w:hAnsi="Gill Sans MT Std Light" w:cs="Open Sans"/>
          <w:color w:val="292B2C"/>
        </w:rPr>
        <w:t>)</w:t>
      </w:r>
    </w:p>
    <w:p w:rsidRPr="002E3A65" w:rsidR="002D48C4" w:rsidP="002D48C4" w:rsidRDefault="002D48C4" w14:paraId="1183CE3B" w14:textId="77777777">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High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HA</w:t>
      </w:r>
      <w:r w:rsidRPr="002E3A65">
        <w:rPr>
          <w:rFonts w:ascii="Gill Sans MT Std Light" w:hAnsi="Gill Sans MT Std Light" w:cs="Open Sans"/>
          <w:color w:val="292B2C"/>
        </w:rPr>
        <w:t>)</w:t>
      </w:r>
    </w:p>
    <w:p w:rsidRPr="002E3A65" w:rsidR="002D48C4" w:rsidP="002D48C4" w:rsidRDefault="002D48C4" w14:paraId="088B6C9A" w14:textId="77777777">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Commendable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CA</w:t>
      </w:r>
      <w:r w:rsidRPr="002E3A65">
        <w:rPr>
          <w:rFonts w:ascii="Gill Sans MT Std Light" w:hAnsi="Gill Sans MT Std Light" w:cs="Open Sans"/>
          <w:color w:val="292B2C"/>
        </w:rPr>
        <w:t>)</w:t>
      </w:r>
    </w:p>
    <w:p w:rsidR="002D48C4" w:rsidP="002D48C4" w:rsidRDefault="002D48C4" w14:paraId="67D20824" w14:textId="77777777">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Satisfactory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SA</w:t>
      </w:r>
      <w:r w:rsidRPr="002E3A65">
        <w:rPr>
          <w:rFonts w:ascii="Gill Sans MT Std Light" w:hAnsi="Gill Sans MT Std Light" w:cs="Open Sans"/>
          <w:color w:val="292B2C"/>
        </w:rPr>
        <w:t>)</w:t>
      </w:r>
    </w:p>
    <w:p w:rsidRPr="008A402A" w:rsidR="00D56328" w:rsidP="008A402A" w:rsidRDefault="002D48C4" w14:paraId="4D224AD1" w14:textId="256AC8EF">
      <w:pPr>
        <w:pStyle w:val="ListParagraph"/>
        <w:numPr>
          <w:ilvl w:val="1"/>
          <w:numId w:val="3"/>
        </w:numPr>
        <w:spacing w:before="120" w:after="120"/>
        <w:rPr>
          <w:rFonts w:ascii="Gill Sans MT Std Light" w:hAnsi="Gill Sans MT Std Light" w:cs="Open Sans"/>
          <w:color w:val="292B2C"/>
          <w:sz w:val="23"/>
          <w:szCs w:val="23"/>
        </w:rPr>
      </w:pPr>
      <w:r w:rsidRPr="002E3A65">
        <w:rPr>
          <w:rFonts w:ascii="Gill Sans MT Std Light" w:hAnsi="Gill Sans MT Std Light" w:cs="Open Sans"/>
          <w:color w:val="292B2C"/>
        </w:rPr>
        <w:lastRenderedPageBreak/>
        <w:t xml:space="preserve">Preliminary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PA</w:t>
      </w:r>
      <w:r w:rsidRPr="002E3A65">
        <w:rPr>
          <w:rFonts w:ascii="Gill Sans MT Std Light" w:hAnsi="Gill Sans MT Std Light" w:cs="Open Sans"/>
          <w:color w:val="292B2C"/>
        </w:rPr>
        <w:t>)</w:t>
      </w:r>
    </w:p>
    <w:p w:rsidRPr="002E3A65" w:rsidR="002D48C4" w:rsidP="00D56328" w:rsidRDefault="002D48C4" w14:paraId="7F8F2FC1" w14:textId="243FA0F7">
      <w:pPr>
        <w:pStyle w:val="ListParagraph"/>
        <w:spacing w:before="120" w:after="120"/>
        <w:rPr>
          <w:rFonts w:ascii="Gill Sans MT Std Light" w:hAnsi="Gill Sans MT Std Light" w:cs="Open Sans"/>
          <w:color w:val="292B2C"/>
          <w:sz w:val="23"/>
          <w:szCs w:val="23"/>
        </w:rPr>
      </w:pPr>
    </w:p>
    <w:p w:rsidRPr="00F43C65" w:rsidR="005E3F2D" w:rsidP="002D48C4" w:rsidRDefault="00AA2857" w14:paraId="58CB9DDE" w14:textId="32FC253F">
      <w:pPr>
        <w:pStyle w:val="ListParagraph"/>
        <w:numPr>
          <w:ilvl w:val="0"/>
          <w:numId w:val="3"/>
        </w:numPr>
        <w:spacing w:before="120" w:after="120"/>
        <w:rPr>
          <w:rFonts w:ascii="Gill Sans MT Std Light" w:hAnsi="Gill Sans MT Std Light"/>
          <w:b/>
          <w:bCs/>
        </w:rPr>
      </w:pPr>
      <w:r w:rsidRPr="00F43C65">
        <w:rPr>
          <w:rFonts w:ascii="Gill Sans MT Std Light" w:hAnsi="Gill Sans MT Std Light"/>
          <w:b/>
          <w:bCs/>
        </w:rPr>
        <w:t xml:space="preserve">Providing </w:t>
      </w:r>
      <w:r w:rsidRPr="00F43C65" w:rsidR="00F43C65">
        <w:rPr>
          <w:rFonts w:ascii="Gill Sans MT Std Light" w:hAnsi="Gill Sans MT Std Light"/>
          <w:b/>
          <w:bCs/>
          <w:i/>
          <w:iCs/>
        </w:rPr>
        <w:t xml:space="preserve">final </w:t>
      </w:r>
      <w:r w:rsidRPr="00F43C65" w:rsidR="00F43C65">
        <w:rPr>
          <w:rFonts w:ascii="Gill Sans MT Std Light" w:hAnsi="Gill Sans MT Std Light"/>
          <w:b/>
          <w:bCs/>
        </w:rPr>
        <w:t>internal ratings to students:</w:t>
      </w:r>
    </w:p>
    <w:p w:rsidRPr="002E0135" w:rsidR="002E0135" w:rsidP="002E0135" w:rsidRDefault="00A250AB" w14:paraId="5A2AE419" w14:textId="772422A4">
      <w:pPr>
        <w:pStyle w:val="ListParagraph"/>
        <w:spacing w:before="120" w:after="120"/>
        <w:rPr>
          <w:rFonts w:ascii="Gill Sans MT Std Light" w:hAnsi="Gill Sans MT Std Light"/>
        </w:rPr>
      </w:pPr>
      <w:r>
        <w:rPr>
          <w:rFonts w:ascii="Gill Sans MT Std Light" w:hAnsi="Gill Sans MT Std Light"/>
        </w:rPr>
        <w:t>S</w:t>
      </w:r>
      <w:r w:rsidR="002D48C4">
        <w:rPr>
          <w:rFonts w:ascii="Gill Sans MT Std Light" w:hAnsi="Gill Sans MT Std Light"/>
        </w:rPr>
        <w:t xml:space="preserve">tudents </w:t>
      </w:r>
      <w:r>
        <w:rPr>
          <w:rFonts w:ascii="Gill Sans MT Std Light" w:hAnsi="Gill Sans MT Std Light"/>
        </w:rPr>
        <w:t xml:space="preserve">will receive a copy of </w:t>
      </w:r>
      <w:r w:rsidR="002D48C4">
        <w:rPr>
          <w:rFonts w:ascii="Gill Sans MT Std Light" w:hAnsi="Gill Sans MT Std Light"/>
        </w:rPr>
        <w:t xml:space="preserve">their </w:t>
      </w:r>
      <w:r w:rsidR="002D48C4">
        <w:rPr>
          <w:rFonts w:ascii="Gill Sans MT Std Light" w:hAnsi="Gill Sans MT Std Light"/>
          <w:i/>
          <w:iCs/>
        </w:rPr>
        <w:t xml:space="preserve">final </w:t>
      </w:r>
      <w:r w:rsidR="002D48C4">
        <w:rPr>
          <w:rFonts w:ascii="Gill Sans MT Std Light" w:hAnsi="Gill Sans MT Std Light"/>
        </w:rPr>
        <w:t xml:space="preserve">internal ratings to </w:t>
      </w:r>
      <w:r>
        <w:rPr>
          <w:rFonts w:ascii="Gill Sans MT Std Light" w:hAnsi="Gill Sans MT Std Light"/>
        </w:rPr>
        <w:t xml:space="preserve">view </w:t>
      </w:r>
      <w:r w:rsidR="002D48C4">
        <w:rPr>
          <w:rFonts w:ascii="Gill Sans MT Std Light" w:hAnsi="Gill Sans MT Std Light"/>
        </w:rPr>
        <w:t xml:space="preserve">and sign-off on before these ratings are submitted to TASC. </w:t>
      </w:r>
    </w:p>
    <w:p w:rsidR="002E0135" w:rsidP="008D5D7E" w:rsidRDefault="002E0135" w14:paraId="440458BE" w14:textId="77777777">
      <w:pPr>
        <w:pStyle w:val="ListParagraph"/>
        <w:numPr>
          <w:ilvl w:val="1"/>
          <w:numId w:val="3"/>
        </w:numPr>
        <w:spacing w:before="120" w:after="120"/>
        <w:rPr>
          <w:rFonts w:ascii="Gill Sans MT Std Light" w:hAnsi="Gill Sans MT Std Light"/>
        </w:rPr>
      </w:pPr>
      <w:r w:rsidRPr="00DE0666">
        <w:rPr>
          <w:rFonts w:ascii="Gill Sans MT Std Light" w:hAnsi="Gill Sans MT Std Light"/>
        </w:rPr>
        <w:t>This final rating will be based on the assessment records kept over the year</w:t>
      </w:r>
      <w:r>
        <w:rPr>
          <w:rFonts w:ascii="Gill Sans MT Std Light" w:hAnsi="Gill Sans MT Std Light"/>
        </w:rPr>
        <w:t>.</w:t>
      </w:r>
    </w:p>
    <w:p w:rsidR="009428E8" w:rsidP="008D5D7E" w:rsidRDefault="002D48C4" w14:paraId="6FFB55F8" w14:textId="07D2FB6E">
      <w:pPr>
        <w:pStyle w:val="ListParagraph"/>
        <w:numPr>
          <w:ilvl w:val="1"/>
          <w:numId w:val="3"/>
        </w:numPr>
        <w:spacing w:before="120" w:after="120"/>
        <w:rPr>
          <w:rFonts w:ascii="Gill Sans MT Std Light" w:hAnsi="Gill Sans MT Std Light"/>
        </w:rPr>
      </w:pPr>
      <w:r w:rsidRPr="00DE0666">
        <w:rPr>
          <w:rFonts w:ascii="Gill Sans MT Std Light" w:hAnsi="Gill Sans MT Std Light"/>
        </w:rPr>
        <w:t>The copy of their internal ratings should be provided within a timeframe that allows the school review process to be undertaken before submission to TASC</w:t>
      </w:r>
      <w:r w:rsidR="008D5D7E">
        <w:rPr>
          <w:rFonts w:ascii="Gill Sans MT Std Light" w:hAnsi="Gill Sans MT Std Light"/>
        </w:rPr>
        <w:t xml:space="preserve">. </w:t>
      </w:r>
    </w:p>
    <w:p w:rsidRPr="009055AD" w:rsidR="00244447" w:rsidP="009055AD" w:rsidRDefault="00456424" w14:paraId="168571EF" w14:textId="438DD4C0">
      <w:pPr>
        <w:pStyle w:val="ListParagraph"/>
        <w:numPr>
          <w:ilvl w:val="1"/>
          <w:numId w:val="3"/>
        </w:numPr>
        <w:spacing w:before="120" w:after="120"/>
        <w:rPr>
          <w:rFonts w:ascii="Gill Sans MT Std Light" w:hAnsi="Gill Sans MT Std Light"/>
          <w:highlight w:val="yellow"/>
        </w:rPr>
      </w:pPr>
      <w:r w:rsidRPr="00456424">
        <w:rPr>
          <w:rFonts w:ascii="Gill Sans MT Std Light" w:hAnsi="Gill Sans MT Std Light"/>
          <w:highlight w:val="yellow"/>
        </w:rPr>
        <w:t xml:space="preserve">[INSERT School process for students wishing to review their internal ratings] </w:t>
      </w:r>
    </w:p>
    <w:p w:rsidRPr="009055AD" w:rsidR="009055AD" w:rsidP="009055AD" w:rsidRDefault="00244447" w14:paraId="193939CD" w14:textId="77777777">
      <w:pPr>
        <w:pStyle w:val="NormalWeb"/>
        <w:numPr>
          <w:ilvl w:val="0"/>
          <w:numId w:val="7"/>
        </w:numPr>
        <w:rPr>
          <w:rFonts w:ascii="Gill Sans MT Std Light" w:hAnsi="Gill Sans MT Std Light"/>
          <w:sz w:val="22"/>
          <w:szCs w:val="22"/>
        </w:rPr>
      </w:pPr>
      <w:r w:rsidRPr="009055AD">
        <w:rPr>
          <w:rFonts w:ascii="Gill Sans MT Std Light" w:hAnsi="Gill Sans MT Std Light" w:eastAsiaTheme="minorHAnsi" w:cstheme="minorBidi"/>
          <w:b/>
          <w:bCs/>
          <w:sz w:val="22"/>
          <w:szCs w:val="22"/>
          <w:lang w:eastAsia="en-US"/>
        </w:rPr>
        <w:t>Australian Tertiary Admissions Rank (ATAR)</w:t>
      </w:r>
      <w:r w:rsidRPr="009055AD" w:rsidR="0047252C">
        <w:rPr>
          <w:rFonts w:ascii="Gill Sans MT Std Light" w:hAnsi="Gill Sans MT Std Light" w:eastAsiaTheme="minorHAnsi" w:cstheme="minorBidi"/>
          <w:b/>
          <w:bCs/>
          <w:sz w:val="22"/>
          <w:szCs w:val="22"/>
          <w:lang w:eastAsia="en-US"/>
        </w:rPr>
        <w:t xml:space="preserve">: </w:t>
      </w:r>
      <w:r w:rsidRPr="009055AD" w:rsidR="0047252C">
        <w:rPr>
          <w:rFonts w:ascii="Gill Sans MT Std Light" w:hAnsi="Gill Sans MT Std Light"/>
          <w:b/>
          <w:bCs/>
          <w:sz w:val="22"/>
          <w:szCs w:val="22"/>
        </w:rPr>
        <w:br/>
      </w:r>
      <w:r w:rsidRPr="009055AD" w:rsidR="009055AD">
        <w:rPr>
          <w:rFonts w:ascii="Gill Sans MT Std Light" w:hAnsi="Gill Sans MT Std Light"/>
          <w:sz w:val="22"/>
          <w:szCs w:val="22"/>
        </w:rPr>
        <w:t>In some unique circumstances an ATAR may include course score/s from TASC accredited courses studied in Year 10.</w:t>
      </w:r>
    </w:p>
    <w:p w:rsidRPr="009055AD" w:rsidR="009055AD" w:rsidP="009055AD" w:rsidRDefault="009055AD" w14:paraId="5A825197" w14:textId="77777777">
      <w:pPr>
        <w:pStyle w:val="NormalWeb"/>
        <w:numPr>
          <w:ilvl w:val="1"/>
          <w:numId w:val="7"/>
        </w:numPr>
        <w:rPr>
          <w:rFonts w:ascii="Gill Sans MT Std Light" w:hAnsi="Gill Sans MT Std Light"/>
          <w:sz w:val="22"/>
          <w:szCs w:val="22"/>
        </w:rPr>
      </w:pPr>
      <w:r w:rsidRPr="009055AD">
        <w:rPr>
          <w:rFonts w:ascii="Gill Sans MT Std Light" w:hAnsi="Gill Sans MT Std Light"/>
          <w:sz w:val="22"/>
          <w:szCs w:val="22"/>
        </w:rPr>
        <w:t xml:space="preserve">The rules governing the ATAR calculation remain the same for all Tasmanian students. At least three of the course scores used to calculate a student's ATAR must be in their final year of study (Year 12 or 13) and the other one or two course scores will come from that same year (their final year of study) or </w:t>
      </w:r>
      <w:r w:rsidRPr="009055AD">
        <w:rPr>
          <w:rStyle w:val="Strong"/>
          <w:rFonts w:ascii="Gill Sans MT Std Light" w:hAnsi="Gill Sans MT Std Light"/>
          <w:sz w:val="22"/>
          <w:szCs w:val="22"/>
        </w:rPr>
        <w:t>one</w:t>
      </w:r>
      <w:r w:rsidRPr="009055AD">
        <w:rPr>
          <w:rFonts w:ascii="Gill Sans MT Std Light" w:hAnsi="Gill Sans MT Std Light"/>
          <w:sz w:val="22"/>
          <w:szCs w:val="22"/>
        </w:rPr>
        <w:t xml:space="preserve"> other year (Year 10 or 11).</w:t>
      </w:r>
    </w:p>
    <w:p w:rsidRPr="009055AD" w:rsidR="009055AD" w:rsidP="009055AD" w:rsidRDefault="009055AD" w14:paraId="319EB980" w14:textId="2CF1FCF7">
      <w:pPr>
        <w:pStyle w:val="NormalWeb"/>
        <w:numPr>
          <w:ilvl w:val="1"/>
          <w:numId w:val="7"/>
        </w:numPr>
        <w:rPr>
          <w:rFonts w:ascii="Gill Sans MT Std Light" w:hAnsi="Gill Sans MT Std Light"/>
          <w:sz w:val="22"/>
          <w:szCs w:val="22"/>
        </w:rPr>
      </w:pPr>
      <w:r w:rsidRPr="009055AD">
        <w:rPr>
          <w:rFonts w:ascii="Gill Sans MT Std Light" w:hAnsi="Gill Sans MT Std Light"/>
          <w:sz w:val="22"/>
          <w:szCs w:val="22"/>
        </w:rPr>
        <w:t xml:space="preserve">A course score achieved in Year 10 will only be used if it meets the eligibility requirements outlined above and provides the most beneficial outcome when compared to the Year 11 scores you achieved.  For more information read page 10 of </w:t>
      </w:r>
      <w:hyperlink w:history="1" r:id="rId17">
        <w:r w:rsidRPr="009055AD">
          <w:rPr>
            <w:rStyle w:val="Hyperlink"/>
            <w:rFonts w:ascii="Gill Sans MT Std Light" w:hAnsi="Gill Sans MT Std Light"/>
            <w:sz w:val="22"/>
            <w:szCs w:val="22"/>
          </w:rPr>
          <w:t>Understanding the ATAR</w:t>
        </w:r>
      </w:hyperlink>
      <w:r w:rsidRPr="009055AD">
        <w:rPr>
          <w:rFonts w:ascii="Gill Sans MT Std Light" w:hAnsi="Gill Sans MT Std Light"/>
          <w:sz w:val="22"/>
          <w:szCs w:val="22"/>
        </w:rPr>
        <w:t>.</w:t>
      </w:r>
    </w:p>
    <w:p w:rsidRPr="009055AD" w:rsidR="00244447" w:rsidP="009055AD" w:rsidRDefault="00244447" w14:paraId="30B13216" w14:textId="313F3BD7">
      <w:pPr>
        <w:spacing w:before="120" w:after="120"/>
        <w:ind w:left="360"/>
        <w:rPr>
          <w:rFonts w:ascii="Gill Sans MT Std Light" w:hAnsi="Gill Sans MT Std Light"/>
          <w:b/>
          <w:bCs/>
        </w:rPr>
      </w:pPr>
    </w:p>
    <w:p w:rsidRPr="0047252C" w:rsidR="00AD02E3" w:rsidP="0047252C" w:rsidRDefault="00AD02E3" w14:paraId="15E87051" w14:textId="76D7C994">
      <w:pPr>
        <w:rPr>
          <w:rFonts w:ascii="Gill Sans MT Std Light" w:hAnsi="Gill Sans MT Std Light"/>
        </w:rPr>
      </w:pPr>
    </w:p>
    <w:p w:rsidR="00AD02E3" w:rsidP="00AD02E3" w:rsidRDefault="00AD02E3" w14:paraId="112997D7" w14:textId="77777777">
      <w:pPr>
        <w:rPr>
          <w:rFonts w:ascii="Gill Sans MT Std Light" w:hAnsi="Gill Sans MT Std Light"/>
          <w:b/>
          <w:bCs/>
        </w:rPr>
      </w:pPr>
    </w:p>
    <w:p w:rsidRPr="00B41FD6" w:rsidR="00244447" w:rsidP="00244447" w:rsidRDefault="00244447" w14:paraId="7A48A63C" w14:textId="77777777">
      <w:pPr>
        <w:rPr>
          <w:rFonts w:ascii="Gill Sans MT Std Light" w:hAnsi="Gill Sans MT Std Light"/>
        </w:rPr>
      </w:pPr>
    </w:p>
    <w:sectPr w:rsidRPr="00B41FD6" w:rsidR="00244447" w:rsidSect="00F12113">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3BF" w:rsidP="00F12113" w:rsidRDefault="002163BF" w14:paraId="28EF285A" w14:textId="77777777">
      <w:pPr>
        <w:spacing w:after="0" w:line="240" w:lineRule="auto"/>
      </w:pPr>
      <w:r>
        <w:separator/>
      </w:r>
    </w:p>
  </w:endnote>
  <w:endnote w:type="continuationSeparator" w:id="0">
    <w:p w:rsidR="002163BF" w:rsidP="00F12113" w:rsidRDefault="002163BF" w14:paraId="643034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Std Light">
    <w:panose1 w:val="020B0302020104020203"/>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50983"/>
      <w:docPartObj>
        <w:docPartGallery w:val="Page Numbers (Bottom of Page)"/>
        <w:docPartUnique/>
      </w:docPartObj>
    </w:sdtPr>
    <w:sdtEndPr>
      <w:rPr>
        <w:noProof/>
      </w:rPr>
    </w:sdtEndPr>
    <w:sdtContent>
      <w:p w:rsidR="00CD19AA" w:rsidRDefault="00CD19AA" w14:paraId="624337F6" w14:textId="2D47C61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CD19AA" w:rsidRDefault="00CD19AA" w14:paraId="755FA7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3BF" w:rsidP="00F12113" w:rsidRDefault="002163BF" w14:paraId="68050C71" w14:textId="77777777">
      <w:pPr>
        <w:spacing w:after="0" w:line="240" w:lineRule="auto"/>
      </w:pPr>
      <w:r>
        <w:separator/>
      </w:r>
    </w:p>
  </w:footnote>
  <w:footnote w:type="continuationSeparator" w:id="0">
    <w:p w:rsidR="002163BF" w:rsidP="00F12113" w:rsidRDefault="002163BF" w14:paraId="3C8599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F12113" w:rsidRDefault="00F12113" w14:paraId="0B7D870D" w14:textId="786DB509">
    <w:pPr>
      <w:pStyle w:val="Header"/>
    </w:pPr>
    <w:r w:rsidRPr="00891CAB">
      <w:rPr>
        <w:rFonts w:ascii="Gill Sans MT Std Light" w:hAnsi="Gill Sans MT Std Light"/>
        <w:b/>
        <w:bCs/>
        <w:noProof/>
        <w:sz w:val="36"/>
        <w:szCs w:val="36"/>
        <w:highlight w:val="yellow"/>
      </w:rPr>
      <mc:AlternateContent>
        <mc:Choice Requires="wps">
          <w:drawing>
            <wp:inline distT="0" distB="0" distL="0" distR="0" wp14:anchorId="23C71D2C" wp14:editId="79CC4576">
              <wp:extent cx="6534150" cy="460935"/>
              <wp:effectExtent l="0" t="0" r="1905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60935"/>
                      </a:xfrm>
                      <a:prstGeom prst="rect">
                        <a:avLst/>
                      </a:prstGeom>
                      <a:solidFill>
                        <a:srgbClr val="CCE7E8"/>
                      </a:solidFill>
                      <a:ln w="12700">
                        <a:solidFill>
                          <a:srgbClr val="00858A"/>
                        </a:solidFill>
                        <a:miter lim="800000"/>
                        <a:headEnd/>
                        <a:tailEnd/>
                      </a:ln>
                    </wps:spPr>
                    <wps:txbx>
                      <w:txbxContent>
                        <w:p w:rsidRPr="003B0BF7" w:rsidR="00F12113" w:rsidP="00F12113" w:rsidRDefault="00F12113" w14:paraId="1279A3E8" w14:textId="77777777">
                          <w:pPr>
                            <w:rPr>
                              <w:rFonts w:ascii="Gill Sans MT Std Light" w:hAnsi="Gill Sans MT Std Light"/>
                            </w:rPr>
                          </w:pPr>
                          <w:r w:rsidRPr="003B0BF7">
                            <w:rPr>
                              <w:rFonts w:ascii="Gill Sans MT Std Light" w:hAnsi="Gill Sans MT Std Light"/>
                            </w:rPr>
                            <w:t xml:space="preserve">TASC provides this </w:t>
                          </w:r>
                          <w:r w:rsidRPr="003B0BF7">
                            <w:rPr>
                              <w:rFonts w:ascii="Gill Sans MT Std Light" w:hAnsi="Gill Sans MT Std Light"/>
                              <w:b/>
                              <w:bCs/>
                            </w:rPr>
                            <w:t>example</w:t>
                          </w:r>
                          <w:r w:rsidRPr="003B0BF7">
                            <w:rPr>
                              <w:rFonts w:ascii="Gill Sans MT Std Light" w:hAnsi="Gill Sans MT Std Light"/>
                            </w:rPr>
                            <w:t xml:space="preserve"> </w:t>
                          </w:r>
                          <w:r w:rsidRPr="003B0BF7">
                            <w:rPr>
                              <w:rFonts w:ascii="Gill Sans MT Std Light" w:hAnsi="Gill Sans MT Std Light"/>
                              <w:i/>
                              <w:iCs/>
                            </w:rPr>
                            <w:t xml:space="preserve">Content for parents/guardians or carers of students applying for a pre-Year 11 enrolment </w:t>
                          </w:r>
                          <w:r w:rsidRPr="003B0BF7">
                            <w:rPr>
                              <w:rFonts w:ascii="Gill Sans MT Std Light" w:hAnsi="Gill Sans MT Std Light"/>
                            </w:rPr>
                            <w:t xml:space="preserve">to assist schools to meet TASC requirements. </w:t>
                          </w:r>
                        </w:p>
                        <w:p w:rsidRPr="003B0BF7" w:rsidR="00F12113" w:rsidP="00F12113" w:rsidRDefault="00F12113" w14:paraId="5F91B19A" w14:textId="77777777">
                          <w:pPr>
                            <w:rPr>
                              <w:rFonts w:ascii="Gill Sans MT Std Light" w:hAnsi="Gill Sans MT Std Light"/>
                            </w:rPr>
                          </w:pPr>
                          <w:r w:rsidRPr="003B0BF7">
                            <w:rPr>
                              <w:rFonts w:ascii="Gill Sans MT Std Light" w:hAnsi="Gill Sans MT Std Light"/>
                            </w:rPr>
                            <w:t>\</w:t>
                          </w:r>
                        </w:p>
                      </w:txbxContent>
                    </wps:txbx>
                    <wps:bodyPr rot="0" vert="horz" wrap="square" lIns="91440" tIns="45720" rIns="91440" bIns="45720" anchor="t" anchorCtr="0">
                      <a:noAutofit/>
                    </wps:bodyPr>
                  </wps:wsp>
                </a:graphicData>
              </a:graphic>
            </wp:inline>
          </w:drawing>
        </mc:Choice>
        <mc:Fallback xmlns:a="http://schemas.openxmlformats.org/drawingml/2006/main">
          <w:pict w14:anchorId="10DA7042">
            <v:shapetype id="_x0000_t202" coordsize="21600,21600" o:spt="202" path="m,l,21600r21600,l21600,xe" w14:anchorId="23C71D2C">
              <v:stroke joinstyle="miter"/>
              <v:path gradientshapeok="t" o:connecttype="rect"/>
            </v:shapetype>
            <v:shape id="Text Box 2" style="width:514.5pt;height:36.3pt;visibility:visible;mso-wrap-style:square;mso-left-percent:-10001;mso-top-percent:-10001;mso-position-horizontal:absolute;mso-position-horizontal-relative:char;mso-position-vertical:absolute;mso-position-vertical-relative:line;mso-left-percent:-10001;mso-top-percent:-10001;v-text-anchor:top" o:spid="_x0000_s1026" fillcolor="#cce7e8" strokecolor="#00858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">
              <v:textbox>
                <w:txbxContent>
                  <w:p w:rsidRPr="003B0BF7" w:rsidR="00F12113" w:rsidP="00F12113" w:rsidRDefault="00F12113" w14:paraId="62620150" w14:textId="77777777">
                    <w:pPr>
                      <w:rPr>
                        <w:rFonts w:ascii="Gill Sans MT Std Light" w:hAnsi="Gill Sans MT Std Light"/>
                      </w:rPr>
                    </w:pPr>
                    <w:r w:rsidRPr="003B0BF7">
                      <w:rPr>
                        <w:rFonts w:ascii="Gill Sans MT Std Light" w:hAnsi="Gill Sans MT Std Light"/>
                      </w:rPr>
                      <w:t xml:space="preserve">TASC provides this </w:t>
                    </w:r>
                    <w:r w:rsidRPr="003B0BF7">
                      <w:rPr>
                        <w:rFonts w:ascii="Gill Sans MT Std Light" w:hAnsi="Gill Sans MT Std Light"/>
                        <w:b/>
                        <w:bCs/>
                      </w:rPr>
                      <w:t>example</w:t>
                    </w:r>
                    <w:r w:rsidRPr="003B0BF7">
                      <w:rPr>
                        <w:rFonts w:ascii="Gill Sans MT Std Light" w:hAnsi="Gill Sans MT Std Light"/>
                      </w:rPr>
                      <w:t xml:space="preserve"> </w:t>
                    </w:r>
                    <w:r w:rsidRPr="003B0BF7">
                      <w:rPr>
                        <w:rFonts w:ascii="Gill Sans MT Std Light" w:hAnsi="Gill Sans MT Std Light"/>
                        <w:i/>
                        <w:iCs/>
                      </w:rPr>
                      <w:t xml:space="preserve">Content for parents/guardians or carers of students applying for a pre-Year 11 enrolment </w:t>
                    </w:r>
                    <w:r w:rsidRPr="003B0BF7">
                      <w:rPr>
                        <w:rFonts w:ascii="Gill Sans MT Std Light" w:hAnsi="Gill Sans MT Std Light"/>
                      </w:rPr>
                      <w:t xml:space="preserve">to assist schools to meet TASC requirements. </w:t>
                    </w:r>
                  </w:p>
                  <w:p w:rsidRPr="003B0BF7" w:rsidR="00F12113" w:rsidP="00F12113" w:rsidRDefault="00F12113" w14:paraId="2D4C463A" w14:textId="77777777">
                    <w:pPr>
                      <w:rPr>
                        <w:rFonts w:ascii="Gill Sans MT Std Light" w:hAnsi="Gill Sans MT Std Light"/>
                      </w:rPr>
                    </w:pPr>
                    <w:r w:rsidRPr="003B0BF7">
                      <w:rPr>
                        <w:rFonts w:ascii="Gill Sans MT Std Light" w:hAnsi="Gill Sans MT Std Light"/>
                      </w:rPr>
                      <w:t>\</w:t>
                    </w:r>
                  </w:p>
                </w:txbxContent>
              </v:textbox>
              <w10:anchorlock/>
            </v:shape>
          </w:pict>
        </mc:Fallback>
      </mc:AlternateContent>
    </w:r>
  </w:p>
  <w:p w:rsidR="002A763D" w:rsidRDefault="002A763D" w14:paraId="7EAD97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7B04"/>
    <w:multiLevelType w:val="hybridMultilevel"/>
    <w:tmpl w:val="294A45F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789792F"/>
    <w:multiLevelType w:val="multilevel"/>
    <w:tmpl w:val="93F6BC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9FD438E"/>
    <w:multiLevelType w:val="hybridMultilevel"/>
    <w:tmpl w:val="A7420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3B7C5A"/>
    <w:multiLevelType w:val="hybridMultilevel"/>
    <w:tmpl w:val="B35081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7922532"/>
    <w:multiLevelType w:val="hybridMultilevel"/>
    <w:tmpl w:val="F7E22DFA"/>
    <w:lvl w:ilvl="0" w:tplc="3028CA1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01A69EB"/>
    <w:multiLevelType w:val="hybridMultilevel"/>
    <w:tmpl w:val="4DAC448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F581A5F"/>
    <w:multiLevelType w:val="hybridMultilevel"/>
    <w:tmpl w:val="C98A279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39"/>
    <w:rsid w:val="000374D0"/>
    <w:rsid w:val="000F595D"/>
    <w:rsid w:val="0011359C"/>
    <w:rsid w:val="001254F6"/>
    <w:rsid w:val="001631C1"/>
    <w:rsid w:val="001C788F"/>
    <w:rsid w:val="002163BF"/>
    <w:rsid w:val="0022134B"/>
    <w:rsid w:val="00233CAB"/>
    <w:rsid w:val="00244447"/>
    <w:rsid w:val="002A763D"/>
    <w:rsid w:val="002D48C4"/>
    <w:rsid w:val="002E0135"/>
    <w:rsid w:val="002F651E"/>
    <w:rsid w:val="0033419A"/>
    <w:rsid w:val="003A1C53"/>
    <w:rsid w:val="003B0BF7"/>
    <w:rsid w:val="003C6855"/>
    <w:rsid w:val="004040A5"/>
    <w:rsid w:val="004246B2"/>
    <w:rsid w:val="00424C0F"/>
    <w:rsid w:val="00452B3A"/>
    <w:rsid w:val="00456424"/>
    <w:rsid w:val="0047252C"/>
    <w:rsid w:val="004B27E9"/>
    <w:rsid w:val="004B4F65"/>
    <w:rsid w:val="004C4CF4"/>
    <w:rsid w:val="004E15FD"/>
    <w:rsid w:val="0051011F"/>
    <w:rsid w:val="00512439"/>
    <w:rsid w:val="0051376F"/>
    <w:rsid w:val="005431BA"/>
    <w:rsid w:val="005703E0"/>
    <w:rsid w:val="005E3F2D"/>
    <w:rsid w:val="006255C6"/>
    <w:rsid w:val="0068498A"/>
    <w:rsid w:val="006B2EE1"/>
    <w:rsid w:val="006D223D"/>
    <w:rsid w:val="006F2594"/>
    <w:rsid w:val="00703155"/>
    <w:rsid w:val="007048C7"/>
    <w:rsid w:val="007101C3"/>
    <w:rsid w:val="0071537B"/>
    <w:rsid w:val="0076006A"/>
    <w:rsid w:val="007A19BF"/>
    <w:rsid w:val="008328B3"/>
    <w:rsid w:val="00834ADF"/>
    <w:rsid w:val="00842972"/>
    <w:rsid w:val="008552B1"/>
    <w:rsid w:val="00881136"/>
    <w:rsid w:val="00885022"/>
    <w:rsid w:val="008A402A"/>
    <w:rsid w:val="008D5D7E"/>
    <w:rsid w:val="009055AD"/>
    <w:rsid w:val="009428E8"/>
    <w:rsid w:val="00976D75"/>
    <w:rsid w:val="009E0274"/>
    <w:rsid w:val="00A171E2"/>
    <w:rsid w:val="00A250AB"/>
    <w:rsid w:val="00A27E1E"/>
    <w:rsid w:val="00A42B73"/>
    <w:rsid w:val="00AA2857"/>
    <w:rsid w:val="00AA33EF"/>
    <w:rsid w:val="00AB6191"/>
    <w:rsid w:val="00AD02E3"/>
    <w:rsid w:val="00B41FD6"/>
    <w:rsid w:val="00B7730F"/>
    <w:rsid w:val="00BF27E4"/>
    <w:rsid w:val="00C1192D"/>
    <w:rsid w:val="00C73FB8"/>
    <w:rsid w:val="00CA3E45"/>
    <w:rsid w:val="00CB05C9"/>
    <w:rsid w:val="00CD19AA"/>
    <w:rsid w:val="00CF4466"/>
    <w:rsid w:val="00D56328"/>
    <w:rsid w:val="00DF6113"/>
    <w:rsid w:val="00E55770"/>
    <w:rsid w:val="00EC5358"/>
    <w:rsid w:val="00F12113"/>
    <w:rsid w:val="00F2460A"/>
    <w:rsid w:val="00F3315F"/>
    <w:rsid w:val="00F43C65"/>
    <w:rsid w:val="00F60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34212"/>
  <w15:chartTrackingRefBased/>
  <w15:docId w15:val="{4B14DE96-8CB5-41EC-960F-02CFA27FEE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12439"/>
    <w:pPr>
      <w:ind w:left="720"/>
      <w:contextualSpacing/>
    </w:pPr>
  </w:style>
  <w:style w:type="character" w:styleId="Hyperlink">
    <w:name w:val="Hyperlink"/>
    <w:basedOn w:val="LineNumber"/>
    <w:uiPriority w:val="99"/>
    <w:unhideWhenUsed/>
    <w:rsid w:val="00244447"/>
    <w:rPr>
      <w:color w:val="00858A"/>
      <w:u w:val="single"/>
    </w:rPr>
  </w:style>
  <w:style w:type="character" w:styleId="LineNumber">
    <w:name w:val="line number"/>
    <w:basedOn w:val="DefaultParagraphFont"/>
    <w:uiPriority w:val="99"/>
    <w:semiHidden/>
    <w:unhideWhenUsed/>
    <w:rsid w:val="00244447"/>
  </w:style>
  <w:style w:type="paragraph" w:styleId="Header">
    <w:name w:val="header"/>
    <w:basedOn w:val="Normal"/>
    <w:link w:val="HeaderChar"/>
    <w:uiPriority w:val="99"/>
    <w:unhideWhenUsed/>
    <w:rsid w:val="00F121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113"/>
  </w:style>
  <w:style w:type="paragraph" w:styleId="Footer">
    <w:name w:val="footer"/>
    <w:basedOn w:val="Normal"/>
    <w:link w:val="FooterChar"/>
    <w:uiPriority w:val="99"/>
    <w:unhideWhenUsed/>
    <w:rsid w:val="00F121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113"/>
  </w:style>
  <w:style w:type="character" w:styleId="Strong">
    <w:name w:val="Strong"/>
    <w:basedOn w:val="DefaultParagraphFont"/>
    <w:uiPriority w:val="22"/>
    <w:qFormat/>
    <w:rsid w:val="002D48C4"/>
    <w:rPr>
      <w:b/>
      <w:bCs/>
    </w:rPr>
  </w:style>
  <w:style w:type="character" w:styleId="FollowedHyperlink">
    <w:name w:val="FollowedHyperlink"/>
    <w:basedOn w:val="DefaultParagraphFont"/>
    <w:uiPriority w:val="99"/>
    <w:semiHidden/>
    <w:unhideWhenUsed/>
    <w:rsid w:val="005703E0"/>
    <w:rPr>
      <w:color w:val="954F72" w:themeColor="followedHyperlink"/>
      <w:u w:val="single"/>
    </w:rPr>
  </w:style>
  <w:style w:type="paragraph" w:styleId="NormalWeb">
    <w:name w:val="Normal (Web)"/>
    <w:basedOn w:val="Normal"/>
    <w:uiPriority w:val="99"/>
    <w:semiHidden/>
    <w:unhideWhenUsed/>
    <w:rsid w:val="00881136"/>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3712">
      <w:bodyDiv w:val="1"/>
      <w:marLeft w:val="0"/>
      <w:marRight w:val="0"/>
      <w:marTop w:val="0"/>
      <w:marBottom w:val="0"/>
      <w:divBdr>
        <w:top w:val="none" w:sz="0" w:space="0" w:color="auto"/>
        <w:left w:val="none" w:sz="0" w:space="0" w:color="auto"/>
        <w:bottom w:val="none" w:sz="0" w:space="0" w:color="auto"/>
        <w:right w:val="none" w:sz="0" w:space="0" w:color="auto"/>
      </w:divBdr>
    </w:div>
    <w:div w:id="460927465">
      <w:bodyDiv w:val="1"/>
      <w:marLeft w:val="0"/>
      <w:marRight w:val="0"/>
      <w:marTop w:val="0"/>
      <w:marBottom w:val="0"/>
      <w:divBdr>
        <w:top w:val="none" w:sz="0" w:space="0" w:color="auto"/>
        <w:left w:val="none" w:sz="0" w:space="0" w:color="auto"/>
        <w:bottom w:val="none" w:sz="0" w:space="0" w:color="auto"/>
        <w:right w:val="none" w:sz="0" w:space="0" w:color="auto"/>
      </w:divBdr>
    </w:div>
    <w:div w:id="4758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qf.edu.au/"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tasc.tas.gov.au/wp-content/uploads/2021/09/Infosheet_TCE_ICT_Standard.pdf" TargetMode="External" Id="rId12" /><Relationship Type="http://schemas.openxmlformats.org/officeDocument/2006/relationships/hyperlink" Target="https://www.tasc.tas.gov.au/wp-content/uploads/2019/09/Understanding-the-ATAR.pdf" TargetMode="External" Id="rId17" /><Relationship Type="http://schemas.openxmlformats.org/officeDocument/2006/relationships/customXml" Target="../customXml/item2.xml" Id="rId2" /><Relationship Type="http://schemas.openxmlformats.org/officeDocument/2006/relationships/hyperlink" Target="https://www.tasc.tas.gov.au/students/academic-integrity/?highlight=Academic%20integrity"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asc.tas.gov.au/students/qualifications/tasmanian-certificate-of-education-tce/?highlight=tce" TargetMode="External" Id="rId11" /><Relationship Type="http://schemas.openxmlformats.org/officeDocument/2006/relationships/numbering" Target="numbering.xml" Id="rId5" /><Relationship Type="http://schemas.openxmlformats.org/officeDocument/2006/relationships/hyperlink" Target="https://www.tasc.tas.gov.au/wp-content/uploads/2020/03/Academic-Integrity-Guide.pdf"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ewr.gov.au/skills-information-training-providers/australian-core-skills-framewor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c3755a-82c7-4361-968f-d5126137135b" xsi:nil="true"/>
    <lcf76f155ced4ddcb4097134ff3c332f xmlns="cedbcd14-5487-442b-8e2a-572282967a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2154129DDD224D995E667524DEA7F9" ma:contentTypeVersion="15" ma:contentTypeDescription="Create a new document." ma:contentTypeScope="" ma:versionID="39c8780a7f6913d9ac20510bc8d4e62e">
  <xsd:schema xmlns:xsd="http://www.w3.org/2001/XMLSchema" xmlns:xs="http://www.w3.org/2001/XMLSchema" xmlns:p="http://schemas.microsoft.com/office/2006/metadata/properties" xmlns:ns2="cedbcd14-5487-442b-8e2a-572282967a34" xmlns:ns3="29c3755a-82c7-4361-968f-d5126137135b" targetNamespace="http://schemas.microsoft.com/office/2006/metadata/properties" ma:root="true" ma:fieldsID="15f9092e9d01e98ee4369d5a22ec693e" ns2:_="" ns3:_="">
    <xsd:import namespace="cedbcd14-5487-442b-8e2a-572282967a34"/>
    <xsd:import namespace="29c3755a-82c7-4361-968f-d51261371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bcd14-5487-442b-8e2a-57228296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c3755a-82c7-4361-968f-d512613713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4ea91b-bf3b-4255-9480-71a22a421cfb}" ma:internalName="TaxCatchAll" ma:showField="CatchAllData" ma:web="29c3755a-82c7-4361-968f-d51261371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BB0A3-FFCD-423D-8193-473BBDF14362}">
  <ds:schemaRefs>
    <ds:schemaRef ds:uri="http://schemas.microsoft.com/office/2006/metadata/properties"/>
    <ds:schemaRef ds:uri="http://schemas.microsoft.com/office/infopath/2007/PartnerControls"/>
    <ds:schemaRef ds:uri="29c3755a-82c7-4361-968f-d5126137135b"/>
    <ds:schemaRef ds:uri="cedbcd14-5487-442b-8e2a-572282967a34"/>
  </ds:schemaRefs>
</ds:datastoreItem>
</file>

<file path=customXml/itemProps2.xml><?xml version="1.0" encoding="utf-8"?>
<ds:datastoreItem xmlns:ds="http://schemas.openxmlformats.org/officeDocument/2006/customXml" ds:itemID="{B3E133CC-05CA-4352-9F0B-C3577C685866}">
  <ds:schemaRefs>
    <ds:schemaRef ds:uri="http://schemas.microsoft.com/sharepoint/v3/contenttype/forms"/>
  </ds:schemaRefs>
</ds:datastoreItem>
</file>

<file path=customXml/itemProps3.xml><?xml version="1.0" encoding="utf-8"?>
<ds:datastoreItem xmlns:ds="http://schemas.openxmlformats.org/officeDocument/2006/customXml" ds:itemID="{35CDCC42-0B81-43D5-9355-8F05398A300B}">
  <ds:schemaRefs>
    <ds:schemaRef ds:uri="http://schemas.openxmlformats.org/officeDocument/2006/bibliography"/>
  </ds:schemaRefs>
</ds:datastoreItem>
</file>

<file path=customXml/itemProps4.xml><?xml version="1.0" encoding="utf-8"?>
<ds:datastoreItem xmlns:ds="http://schemas.openxmlformats.org/officeDocument/2006/customXml" ds:itemID="{D0DD5B16-723C-4BAA-BC11-F834A316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bcd14-5487-442b-8e2a-572282967a34"/>
    <ds:schemaRef ds:uri="29c3755a-82c7-4361-968f-d51261371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Colbeck, Naomi</dc:creator>
  <cp:keywords/>
  <dc:description/>
  <cp:lastModifiedBy>Colbeck, Naomi</cp:lastModifiedBy>
  <cp:revision>79</cp:revision>
  <dcterms:created xsi:type="dcterms:W3CDTF">2022-10-13T02:38:00Z</dcterms:created>
  <dcterms:modified xsi:type="dcterms:W3CDTF">2022-10-17T23:10:00Z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0x0101004A2154129DDD224D995E667524DEA7F9</vt:lpwstr>
  </property>
  <property fmtid="{D5CDD505-2E9C-101B-9397-08002B2CF9AE}" pid="3" name="MediaServiceImageTags">
    <vt:lpwstr/>
  </property>
</Properties>
</file>